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E54DC" w:rsidR="008F37FA" w:rsidP="00D15D16" w:rsidRDefault="00D15D16" w14:paraId="76654A7E" w14:textId="59991A05">
      <w:r w:rsidRPr="007E54DC">
        <w:rPr>
          <w:noProof/>
        </w:rPr>
        <w:drawing>
          <wp:anchor distT="0" distB="0" distL="114300" distR="114300" simplePos="0" relativeHeight="251658240" behindDoc="0" locked="0" layoutInCell="1" allowOverlap="1" wp14:anchorId="149FB183" wp14:editId="4D69BC37">
            <wp:simplePos x="0" y="0"/>
            <wp:positionH relativeFrom="margin">
              <wp:posOffset>0</wp:posOffset>
            </wp:positionH>
            <wp:positionV relativeFrom="paragraph">
              <wp:posOffset>285750</wp:posOffset>
            </wp:positionV>
            <wp:extent cx="2181225" cy="1114425"/>
            <wp:effectExtent l="0" t="0" r="9525" b="9525"/>
            <wp:wrapSquare wrapText="bothSides"/>
            <wp:docPr id="19" name="Picture 4"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1114425"/>
                    </a:xfrm>
                    <a:prstGeom prst="rect">
                      <a:avLst/>
                    </a:prstGeom>
                    <a:noFill/>
                    <a:ln>
                      <a:noFill/>
                    </a:ln>
                  </pic:spPr>
                </pic:pic>
              </a:graphicData>
            </a:graphic>
          </wp:anchor>
        </w:drawing>
      </w:r>
    </w:p>
    <w:p w:rsidRPr="007E54DC" w:rsidR="00D15D16" w:rsidP="00D15D16" w:rsidRDefault="00D15D16" w14:paraId="6188061C" w14:textId="3A5F4746"/>
    <w:p w:rsidRPr="007E54DC" w:rsidR="007107BF" w:rsidP="00D15D16" w:rsidRDefault="007107BF" w14:paraId="144CB53E" w14:textId="77777777"/>
    <w:p w:rsidRPr="007E54DC" w:rsidR="00D15D16" w:rsidP="00D15D16" w:rsidRDefault="00D15D16" w14:paraId="1B9829B3" w14:textId="62D830B9"/>
    <w:p w:rsidRPr="007E54DC" w:rsidR="00D15D16" w:rsidP="00D15D16" w:rsidRDefault="00D15D16" w14:paraId="7269F400" w14:textId="65C29E48"/>
    <w:p w:rsidRPr="007E54DC" w:rsidR="00D15D16" w:rsidP="00D15D16" w:rsidRDefault="00D15D16" w14:paraId="763F1AC7" w14:textId="6DF33056"/>
    <w:p w:rsidRPr="007E54DC" w:rsidR="00D15D16" w:rsidP="00D15D16" w:rsidRDefault="00D15D16" w14:paraId="259250C0" w14:textId="793092D0"/>
    <w:p w:rsidRPr="007E54DC" w:rsidR="00D15D16" w:rsidP="00D15D16" w:rsidRDefault="00D15D16" w14:paraId="577D3730" w14:textId="79BB0F90"/>
    <w:p w:rsidRPr="007E54DC" w:rsidR="00D15D16" w:rsidP="00480F39" w:rsidRDefault="0089739D" w14:paraId="0346AA5C" w14:textId="390D4D65">
      <w:pPr>
        <w:spacing w:after="0"/>
        <w:jc w:val="right"/>
        <w:rPr>
          <w:rStyle w:val="TitleChar"/>
          <w:b/>
          <w:bCs/>
          <w:color w:val="008938"/>
          <w:sz w:val="60"/>
          <w:szCs w:val="60"/>
        </w:rPr>
      </w:pPr>
      <w:sdt>
        <w:sdtPr>
          <w:rPr>
            <w:rStyle w:val="TitleChar"/>
            <w:b/>
            <w:bCs/>
            <w:color w:val="008938"/>
            <w:sz w:val="60"/>
            <w:szCs w:val="60"/>
          </w:rPr>
          <w:alias w:val="Title"/>
          <w:tag w:val=""/>
          <w:id w:val="1295870236"/>
          <w:placeholder>
            <w:docPart w:val="70B4079D07274BAE8CDC4BF4A4411EF6"/>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Pr="007E54DC" w:rsidR="00D15D16">
            <w:rPr>
              <w:rStyle w:val="TitleChar"/>
              <w:b/>
              <w:bCs/>
              <w:color w:val="008938"/>
              <w:sz w:val="60"/>
              <w:szCs w:val="60"/>
            </w:rPr>
            <w:t>Global Fund for Coral Reefs (GFCR)</w:t>
          </w:r>
        </w:sdtContent>
      </w:sdt>
    </w:p>
    <w:p w:rsidRPr="007E54DC" w:rsidR="00D15D16" w:rsidP="00480F39" w:rsidRDefault="00D15D16" w14:paraId="49024BEF" w14:textId="7A114605">
      <w:pPr>
        <w:spacing w:after="0"/>
        <w:jc w:val="right"/>
        <w:rPr>
          <w:color w:val="008938"/>
          <w:sz w:val="28"/>
          <w:szCs w:val="28"/>
          <w:shd w:val="clear" w:color="auto" w:fill="FFFFFF"/>
          <w:lang w:eastAsia="en-GB"/>
        </w:rPr>
      </w:pPr>
      <w:r w:rsidRPr="007E54DC">
        <w:rPr>
          <w:color w:val="008938"/>
          <w:sz w:val="28"/>
          <w:szCs w:val="28"/>
          <w:shd w:val="clear" w:color="auto" w:fill="FFFFFF"/>
          <w:lang w:eastAsia="en-GB"/>
        </w:rPr>
        <w:t>An addendum to a Blue Planet Fund ODA Business Case</w:t>
      </w:r>
    </w:p>
    <w:p w:rsidRPr="007E54DC" w:rsidR="00D15D16" w:rsidP="00480F39" w:rsidRDefault="009A11FB" w14:paraId="7827F8B9" w14:textId="606E892C">
      <w:pPr>
        <w:spacing w:after="0"/>
        <w:jc w:val="right"/>
        <w:rPr>
          <w:sz w:val="28"/>
          <w:szCs w:val="28"/>
          <w:shd w:val="clear" w:color="auto" w:fill="FFFFFF"/>
          <w:lang w:eastAsia="en-GB"/>
        </w:rPr>
      </w:pPr>
      <w:r w:rsidRPr="007E54DC" w:rsidR="009A11FB">
        <w:rPr>
          <w:sz w:val="28"/>
          <w:szCs w:val="28"/>
          <w:shd w:val="clear" w:color="auto" w:fill="FFFFFF"/>
          <w:lang w:eastAsia="en-GB"/>
        </w:rPr>
        <w:t>January</w:t>
      </w:r>
      <w:r w:rsidRPr="007E54DC" w:rsidR="00D15D16">
        <w:rPr>
          <w:sz w:val="28"/>
          <w:szCs w:val="28"/>
          <w:shd w:val="clear" w:color="auto" w:fill="FFFFFF"/>
          <w:lang w:eastAsia="en-GB"/>
        </w:rPr>
        <w:t xml:space="preserve"> 202</w:t>
      </w:r>
      <w:r w:rsidRPr="007E54DC" w:rsidR="009A11FB">
        <w:rPr>
          <w:sz w:val="28"/>
          <w:szCs w:val="28"/>
          <w:shd w:val="clear" w:color="auto" w:fill="FFFFFF"/>
          <w:lang w:eastAsia="en-GB"/>
        </w:rPr>
        <w:t>3</w:t>
      </w:r>
    </w:p>
    <w:p w:rsidRPr="007E54DC" w:rsidR="00D15D16" w:rsidP="00D15D16" w:rsidRDefault="00D15D16" w14:paraId="179548E5" w14:textId="0EBBCEFC">
      <w:pPr>
        <w:rPr/>
      </w:pPr>
    </w:p>
    <w:p w:rsidRPr="007E54DC" w:rsidR="00D15D16" w:rsidP="6EF7DA90" w:rsidRDefault="00D15D16" w14:paraId="124373A3" w14:textId="0BB6B4BB">
      <w:pPr>
        <w:pStyle w:val="Normal"/>
        <w:rPr/>
      </w:pPr>
    </w:p>
    <w:p w:rsidRPr="007E54DC" w:rsidR="00D15D16" w:rsidP="6EF7DA90" w:rsidRDefault="00D15D16" w14:paraId="03452DC1" w14:textId="113BD1A5">
      <w:pPr>
        <w:pStyle w:val="Normal"/>
        <w:rPr/>
      </w:pPr>
    </w:p>
    <w:p w:rsidRPr="007E54DC" w:rsidR="00D15D16" w:rsidP="6EF7DA90" w:rsidRDefault="00D15D16" w14:paraId="146C3A64" w14:textId="073C762D">
      <w:pPr>
        <w:pStyle w:val="Normal"/>
        <w:rPr/>
      </w:pPr>
    </w:p>
    <w:p w:rsidRPr="007E54DC" w:rsidR="00D15D16" w:rsidP="6EF7DA90" w:rsidRDefault="00D15D16" w14:paraId="69AAB70E" w14:textId="61B086DE">
      <w:pPr>
        <w:pStyle w:val="Normal"/>
        <w:rPr/>
      </w:pPr>
    </w:p>
    <w:p w:rsidRPr="007E54DC" w:rsidR="00D15D16" w:rsidP="6EF7DA90" w:rsidRDefault="00D15D16" w14:paraId="3ED7D825" w14:textId="5D693E76">
      <w:pPr>
        <w:pStyle w:val="Normal"/>
        <w:rPr/>
      </w:pPr>
    </w:p>
    <w:p w:rsidRPr="007E54DC" w:rsidR="00D15D16" w:rsidP="6EF7DA90" w:rsidRDefault="00D15D16" w14:paraId="60C93280" w14:textId="5FD7B7E4">
      <w:pPr>
        <w:pStyle w:val="Normal"/>
        <w:rPr/>
      </w:pPr>
    </w:p>
    <w:p w:rsidRPr="007E54DC" w:rsidR="00D15D16" w:rsidP="6EF7DA90" w:rsidRDefault="00D15D16" w14:paraId="0CD423ED" w14:textId="0F9581A1">
      <w:pPr>
        <w:pStyle w:val="Normal"/>
        <w:rPr/>
      </w:pPr>
    </w:p>
    <w:p w:rsidRPr="007E54DC" w:rsidR="00D15D16" w:rsidP="6EF7DA90" w:rsidRDefault="00D15D16" w14:paraId="3D376BBC" w14:textId="15D6C0FB">
      <w:pPr>
        <w:pStyle w:val="Normal"/>
        <w:rPr/>
      </w:pPr>
    </w:p>
    <w:p w:rsidRPr="007E54DC" w:rsidR="00D15D16" w:rsidP="6EF7DA90" w:rsidRDefault="00D15D16" w14:paraId="4463F86F" w14:textId="1C8FE1F7">
      <w:pPr>
        <w:pStyle w:val="Normal"/>
        <w:rPr/>
      </w:pPr>
    </w:p>
    <w:p w:rsidRPr="007E54DC" w:rsidR="00D15D16" w:rsidP="6EF7DA90" w:rsidRDefault="00D15D16" w14:paraId="7909F828" w14:textId="72B917F4">
      <w:pPr>
        <w:pStyle w:val="Normal"/>
        <w:rPr/>
      </w:pPr>
    </w:p>
    <w:p w:rsidRPr="007E54DC" w:rsidR="00D15D16" w:rsidP="6EF7DA90" w:rsidRDefault="00D15D16" w14:paraId="013276D7" w14:textId="0E9EE45C">
      <w:pPr>
        <w:pStyle w:val="Normal"/>
        <w:rPr/>
      </w:pPr>
    </w:p>
    <w:p w:rsidRPr="007E54DC" w:rsidR="00D15D16" w:rsidP="6EF7DA90" w:rsidRDefault="00D15D16" w14:paraId="336364EB" w14:textId="7CC7F84C">
      <w:pPr>
        <w:pStyle w:val="TOCHeading"/>
        <w:shd w:val="clear" w:color="auto" w:fill="008938"/>
        <w:spacing w:before="0"/>
        <w:rPr>
          <w:rStyle w:val="Heading1Char"/>
        </w:rPr>
      </w:pPr>
      <w:bookmarkStart w:name="_Toc1200645618" w:id="1492470594"/>
      <w:r w:rsidRPr="6EF7DA90" w:rsidR="20972035">
        <w:rPr>
          <w:rStyle w:val="Heading1Char"/>
        </w:rPr>
        <w:t>Funding summary Update 2024</w:t>
      </w:r>
      <w:bookmarkEnd w:id="1492470594"/>
    </w:p>
    <w:p w:rsidRPr="007E54DC" w:rsidR="00D15D16" w:rsidP="6EF7DA90" w:rsidRDefault="00D15D16" w14:paraId="4E1814E7" w14:textId="4724F357">
      <w:pPr>
        <w:pStyle w:val="Normal"/>
        <w:rPr/>
      </w:pPr>
    </w:p>
    <w:p w:rsidRPr="007E54DC" w:rsidR="00D15D16" w:rsidP="6EF7DA90" w:rsidRDefault="00D15D16" w14:paraId="0FE1CA30" w14:textId="2489A4E6">
      <w:pPr>
        <w:pStyle w:val="Normal"/>
        <w:rPr/>
      </w:pPr>
      <w:r w:rsidR="2F612C0B">
        <w:rPr/>
        <w:t>The UK has been supporting the Global Fund for Coral Reefs (GFCR), via the Blue Planet Fund, since 2021.</w:t>
      </w:r>
      <w:r w:rsidR="2F612C0B">
        <w:rPr/>
        <w:t xml:space="preserve"> </w:t>
      </w:r>
      <w:r w:rsidR="20972035">
        <w:rPr/>
        <w:t>The Table below details</w:t>
      </w:r>
      <w:r w:rsidR="6EF09962">
        <w:rPr/>
        <w:t xml:space="preserve"> a breakdown of</w:t>
      </w:r>
      <w:r w:rsidR="07A2526C">
        <w:rPr/>
        <w:t xml:space="preserve"> all </w:t>
      </w:r>
      <w:r w:rsidR="20972035">
        <w:rPr/>
        <w:t xml:space="preserve">UK funding </w:t>
      </w:r>
      <w:r w:rsidR="12E1012F">
        <w:rPr/>
        <w:t xml:space="preserve">disbursements </w:t>
      </w:r>
      <w:r w:rsidR="20972035">
        <w:rPr/>
        <w:t xml:space="preserve">to </w:t>
      </w:r>
      <w:r w:rsidR="74B72275">
        <w:rPr/>
        <w:t>date (April 2024).</w:t>
      </w:r>
    </w:p>
    <w:tbl>
      <w:tblPr>
        <w:tblStyle w:val="TableNormal"/>
        <w:tblW w:w="0" w:type="auto"/>
        <w:jc w:val="center"/>
        <w:tblBorders>
          <w:top w:val="single" w:sz="6"/>
          <w:left w:val="single" w:sz="6"/>
          <w:bottom w:val="single" w:sz="6"/>
          <w:right w:val="single" w:sz="6"/>
        </w:tblBorders>
        <w:tblLayout w:type="fixed"/>
        <w:tblLook w:val="04A0" w:firstRow="1" w:lastRow="0" w:firstColumn="1" w:lastColumn="0" w:noHBand="0" w:noVBand="1"/>
      </w:tblPr>
      <w:tblGrid>
        <w:gridCol w:w="2385"/>
        <w:gridCol w:w="3585"/>
      </w:tblGrid>
      <w:tr w:rsidR="6EF7DA90" w:rsidTr="6EF7DA90" w14:paraId="2EB3B730">
        <w:trPr>
          <w:trHeight w:val="300"/>
        </w:trPr>
        <w:tc>
          <w:tcPr>
            <w:tcW w:w="2385" w:type="dxa"/>
            <w:tcBorders>
              <w:top w:val="single" w:sz="8"/>
              <w:left w:val="single" w:sz="8"/>
              <w:bottom w:val="single" w:sz="8"/>
              <w:right w:val="single" w:sz="8"/>
            </w:tcBorders>
            <w:shd w:val="clear" w:color="auto" w:fill="C5E0B3" w:themeFill="accent6" w:themeFillTint="66"/>
            <w:tcMar/>
            <w:vAlign w:val="top"/>
          </w:tcPr>
          <w:p w:rsidR="6EF7DA90" w:rsidP="6EF7DA90" w:rsidRDefault="6EF7DA90" w14:paraId="078E249E" w14:textId="557EA098">
            <w:pPr>
              <w:spacing w:before="0" w:beforeAutospacing="off" w:after="0" w:afterAutospacing="off"/>
              <w:rPr/>
            </w:pPr>
            <w:r w:rsidRPr="6EF7DA90" w:rsidR="6EF7DA90">
              <w:rPr>
                <w:rFonts w:ascii="Arial" w:hAnsi="Arial" w:eastAsia="Arial" w:cs="Arial"/>
                <w:b w:val="1"/>
                <w:bCs w:val="1"/>
                <w:color w:val="000000" w:themeColor="text1" w:themeTint="FF" w:themeShade="FF"/>
                <w:sz w:val="22"/>
                <w:szCs w:val="22"/>
              </w:rPr>
              <w:t>Contribution Date</w:t>
            </w:r>
            <w:r w:rsidRPr="6EF7DA90" w:rsidR="6EF7DA90">
              <w:rPr>
                <w:rFonts w:ascii="Arial" w:hAnsi="Arial" w:eastAsia="Arial" w:cs="Arial"/>
                <w:color w:val="000000" w:themeColor="text1" w:themeTint="FF" w:themeShade="FF"/>
                <w:sz w:val="22"/>
                <w:szCs w:val="22"/>
              </w:rPr>
              <w:t xml:space="preserve"> </w:t>
            </w:r>
          </w:p>
        </w:tc>
        <w:tc>
          <w:tcPr>
            <w:tcW w:w="3585" w:type="dxa"/>
            <w:tcBorders>
              <w:top w:val="single" w:sz="8"/>
              <w:left w:val="single" w:sz="8"/>
              <w:bottom w:val="single" w:sz="8"/>
              <w:right w:val="single" w:sz="8"/>
            </w:tcBorders>
            <w:shd w:val="clear" w:color="auto" w:fill="C5E0B3" w:themeFill="accent6" w:themeFillTint="66"/>
            <w:tcMar/>
            <w:vAlign w:val="top"/>
          </w:tcPr>
          <w:p w:rsidR="6EF7DA90" w:rsidP="6EF7DA90" w:rsidRDefault="6EF7DA90" w14:paraId="056EB97A" w14:textId="744A045A">
            <w:pPr>
              <w:spacing w:before="0" w:beforeAutospacing="off" w:after="0" w:afterAutospacing="off"/>
              <w:jc w:val="center"/>
              <w:rPr/>
            </w:pPr>
            <w:r w:rsidRPr="6EF7DA90" w:rsidR="6EF7DA90">
              <w:rPr>
                <w:rFonts w:ascii="Arial" w:hAnsi="Arial" w:eastAsia="Arial" w:cs="Arial"/>
                <w:b w:val="1"/>
                <w:bCs w:val="1"/>
                <w:color w:val="000000" w:themeColor="text1" w:themeTint="FF" w:themeShade="FF"/>
                <w:sz w:val="22"/>
                <w:szCs w:val="22"/>
              </w:rPr>
              <w:t>Contribution Amount</w:t>
            </w:r>
            <w:r w:rsidRPr="6EF7DA90" w:rsidR="6EF7DA90">
              <w:rPr>
                <w:rFonts w:ascii="Arial" w:hAnsi="Arial" w:eastAsia="Arial" w:cs="Arial"/>
                <w:color w:val="000000" w:themeColor="text1" w:themeTint="FF" w:themeShade="FF"/>
                <w:sz w:val="22"/>
                <w:szCs w:val="22"/>
              </w:rPr>
              <w:t xml:space="preserve"> </w:t>
            </w:r>
          </w:p>
        </w:tc>
      </w:tr>
      <w:tr w:rsidR="6EF7DA90" w:rsidTr="6EF7DA90" w14:paraId="06FABEF8">
        <w:trPr>
          <w:trHeight w:val="300"/>
        </w:trPr>
        <w:tc>
          <w:tcPr>
            <w:tcW w:w="2385" w:type="dxa"/>
            <w:tcBorders>
              <w:top w:val="single" w:sz="8"/>
              <w:left w:val="single" w:sz="8"/>
              <w:bottom w:val="single" w:sz="8"/>
              <w:right w:val="single" w:sz="8"/>
            </w:tcBorders>
            <w:tcMar/>
            <w:vAlign w:val="top"/>
          </w:tcPr>
          <w:p w:rsidR="6EF7DA90" w:rsidP="6EF7DA90" w:rsidRDefault="6EF7DA90" w14:paraId="6CA72022" w14:textId="1655715D">
            <w:pPr>
              <w:spacing w:before="0" w:beforeAutospacing="off" w:after="0" w:afterAutospacing="off"/>
              <w:rPr/>
            </w:pPr>
            <w:r w:rsidRPr="6EF7DA90" w:rsidR="6EF7DA90">
              <w:rPr>
                <w:rFonts w:ascii="Arial" w:hAnsi="Arial" w:eastAsia="Arial" w:cs="Arial"/>
                <w:sz w:val="22"/>
                <w:szCs w:val="22"/>
              </w:rPr>
              <w:t xml:space="preserve">July 2021 </w:t>
            </w:r>
          </w:p>
        </w:tc>
        <w:tc>
          <w:tcPr>
            <w:tcW w:w="3585" w:type="dxa"/>
            <w:tcBorders>
              <w:top w:val="single" w:sz="8"/>
              <w:left w:val="single" w:sz="8"/>
              <w:bottom w:val="single" w:sz="8"/>
              <w:right w:val="single" w:sz="8"/>
            </w:tcBorders>
            <w:tcMar/>
            <w:vAlign w:val="top"/>
          </w:tcPr>
          <w:p w:rsidR="6EF7DA90" w:rsidP="6EF7DA90" w:rsidRDefault="6EF7DA90" w14:paraId="7DE9596F" w14:textId="06A1BA13">
            <w:pPr>
              <w:spacing w:before="0" w:beforeAutospacing="off" w:after="0" w:afterAutospacing="off"/>
              <w:jc w:val="center"/>
              <w:rPr/>
            </w:pPr>
            <w:r w:rsidRPr="6EF7DA90" w:rsidR="6EF7DA90">
              <w:rPr>
                <w:rFonts w:ascii="Arial" w:hAnsi="Arial" w:eastAsia="Arial" w:cs="Arial"/>
                <w:sz w:val="22"/>
                <w:szCs w:val="22"/>
              </w:rPr>
              <w:t xml:space="preserve">£2,500,000 </w:t>
            </w:r>
          </w:p>
        </w:tc>
      </w:tr>
      <w:tr w:rsidR="6EF7DA90" w:rsidTr="6EF7DA90" w14:paraId="1E255F6D">
        <w:trPr>
          <w:trHeight w:val="300"/>
        </w:trPr>
        <w:tc>
          <w:tcPr>
            <w:tcW w:w="2385" w:type="dxa"/>
            <w:tcBorders>
              <w:top w:val="single" w:sz="8"/>
              <w:left w:val="single" w:sz="8"/>
              <w:bottom w:val="single" w:sz="8"/>
              <w:right w:val="single" w:sz="8"/>
            </w:tcBorders>
            <w:tcMar/>
            <w:vAlign w:val="top"/>
          </w:tcPr>
          <w:p w:rsidR="6EF7DA90" w:rsidP="6EF7DA90" w:rsidRDefault="6EF7DA90" w14:paraId="087090BF" w14:textId="7349A960">
            <w:pPr>
              <w:spacing w:before="0" w:beforeAutospacing="off" w:after="0" w:afterAutospacing="off"/>
              <w:rPr/>
            </w:pPr>
            <w:r w:rsidRPr="6EF7DA90" w:rsidR="6EF7DA90">
              <w:rPr>
                <w:rFonts w:ascii="Arial" w:hAnsi="Arial" w:eastAsia="Arial" w:cs="Arial"/>
                <w:sz w:val="22"/>
                <w:szCs w:val="22"/>
              </w:rPr>
              <w:t xml:space="preserve">September 2021 </w:t>
            </w:r>
          </w:p>
        </w:tc>
        <w:tc>
          <w:tcPr>
            <w:tcW w:w="3585" w:type="dxa"/>
            <w:tcBorders>
              <w:top w:val="single" w:sz="8"/>
              <w:left w:val="single" w:sz="8"/>
              <w:bottom w:val="single" w:sz="8"/>
              <w:right w:val="single" w:sz="8"/>
            </w:tcBorders>
            <w:tcMar/>
            <w:vAlign w:val="top"/>
          </w:tcPr>
          <w:p w:rsidR="6EF7DA90" w:rsidP="6EF7DA90" w:rsidRDefault="6EF7DA90" w14:paraId="3E451BD3" w14:textId="713CCDC3">
            <w:pPr>
              <w:spacing w:before="0" w:beforeAutospacing="off" w:after="0" w:afterAutospacing="off"/>
              <w:jc w:val="center"/>
              <w:rPr/>
            </w:pPr>
            <w:r w:rsidRPr="6EF7DA90" w:rsidR="6EF7DA90">
              <w:rPr>
                <w:rFonts w:ascii="Arial" w:hAnsi="Arial" w:eastAsia="Arial" w:cs="Arial"/>
                <w:sz w:val="22"/>
                <w:szCs w:val="22"/>
              </w:rPr>
              <w:t xml:space="preserve">£2,500,000 </w:t>
            </w:r>
          </w:p>
        </w:tc>
      </w:tr>
      <w:tr w:rsidR="6EF7DA90" w:rsidTr="6EF7DA90" w14:paraId="173BED20">
        <w:trPr>
          <w:trHeight w:val="300"/>
        </w:trPr>
        <w:tc>
          <w:tcPr>
            <w:tcW w:w="2385" w:type="dxa"/>
            <w:tcBorders>
              <w:top w:val="single" w:sz="8"/>
              <w:left w:val="single" w:sz="8"/>
              <w:bottom w:val="single" w:sz="8"/>
              <w:right w:val="single" w:sz="8"/>
            </w:tcBorders>
            <w:tcMar/>
            <w:vAlign w:val="top"/>
          </w:tcPr>
          <w:p w:rsidR="6EF7DA90" w:rsidP="6EF7DA90" w:rsidRDefault="6EF7DA90" w14:paraId="247D05AF" w14:textId="0681BF8B">
            <w:pPr>
              <w:spacing w:before="0" w:beforeAutospacing="off" w:after="0" w:afterAutospacing="off"/>
              <w:rPr/>
            </w:pPr>
            <w:r w:rsidRPr="6EF7DA90" w:rsidR="6EF7DA90">
              <w:rPr>
                <w:rFonts w:ascii="Arial" w:hAnsi="Arial" w:eastAsia="Arial" w:cs="Arial"/>
                <w:sz w:val="22"/>
                <w:szCs w:val="22"/>
              </w:rPr>
              <w:t xml:space="preserve">November 2021 </w:t>
            </w:r>
          </w:p>
        </w:tc>
        <w:tc>
          <w:tcPr>
            <w:tcW w:w="3585" w:type="dxa"/>
            <w:tcBorders>
              <w:top w:val="single" w:sz="8"/>
              <w:left w:val="single" w:sz="8"/>
              <w:bottom w:val="single" w:sz="8"/>
              <w:right w:val="single" w:sz="8"/>
            </w:tcBorders>
            <w:tcMar/>
            <w:vAlign w:val="top"/>
          </w:tcPr>
          <w:p w:rsidR="6EF7DA90" w:rsidP="6EF7DA90" w:rsidRDefault="6EF7DA90" w14:paraId="750452A3" w14:textId="082D77C9">
            <w:pPr>
              <w:spacing w:before="0" w:beforeAutospacing="off" w:after="0" w:afterAutospacing="off"/>
              <w:jc w:val="center"/>
              <w:rPr/>
            </w:pPr>
            <w:r w:rsidRPr="6EF7DA90" w:rsidR="6EF7DA90">
              <w:rPr>
                <w:rFonts w:ascii="Arial" w:hAnsi="Arial" w:eastAsia="Arial" w:cs="Arial"/>
                <w:sz w:val="22"/>
                <w:szCs w:val="22"/>
              </w:rPr>
              <w:t xml:space="preserve">£1,000,000 </w:t>
            </w:r>
          </w:p>
        </w:tc>
      </w:tr>
      <w:tr w:rsidR="6EF7DA90" w:rsidTr="6EF7DA90" w14:paraId="25D9B75A">
        <w:trPr>
          <w:trHeight w:val="300"/>
        </w:trPr>
        <w:tc>
          <w:tcPr>
            <w:tcW w:w="2385" w:type="dxa"/>
            <w:tcBorders>
              <w:top w:val="single" w:sz="8"/>
              <w:left w:val="single" w:sz="8"/>
              <w:bottom w:val="single" w:sz="8"/>
              <w:right w:val="single" w:sz="8"/>
            </w:tcBorders>
            <w:tcMar/>
            <w:vAlign w:val="top"/>
          </w:tcPr>
          <w:p w:rsidR="6EF7DA90" w:rsidP="6EF7DA90" w:rsidRDefault="6EF7DA90" w14:paraId="521360C8" w14:textId="7411354E">
            <w:pPr>
              <w:spacing w:before="0" w:beforeAutospacing="off" w:after="0" w:afterAutospacing="off"/>
              <w:rPr/>
            </w:pPr>
            <w:r w:rsidRPr="6EF7DA90" w:rsidR="6EF7DA90">
              <w:rPr>
                <w:rFonts w:ascii="Arial" w:hAnsi="Arial" w:eastAsia="Arial" w:cs="Arial"/>
                <w:sz w:val="22"/>
                <w:szCs w:val="22"/>
              </w:rPr>
              <w:t xml:space="preserve">March 2022 </w:t>
            </w:r>
          </w:p>
        </w:tc>
        <w:tc>
          <w:tcPr>
            <w:tcW w:w="3585" w:type="dxa"/>
            <w:tcBorders>
              <w:top w:val="single" w:sz="8"/>
              <w:left w:val="single" w:sz="8"/>
              <w:bottom w:val="single" w:sz="8"/>
              <w:right w:val="single" w:sz="8"/>
            </w:tcBorders>
            <w:tcMar/>
            <w:vAlign w:val="top"/>
          </w:tcPr>
          <w:p w:rsidR="6EF7DA90" w:rsidP="6EF7DA90" w:rsidRDefault="6EF7DA90" w14:paraId="5EE3799D" w14:textId="4D99D6A5">
            <w:pPr>
              <w:spacing w:before="0" w:beforeAutospacing="off" w:after="0" w:afterAutospacing="off"/>
              <w:jc w:val="center"/>
              <w:rPr/>
            </w:pPr>
            <w:r w:rsidRPr="6EF7DA90" w:rsidR="6EF7DA90">
              <w:rPr>
                <w:rFonts w:ascii="Arial" w:hAnsi="Arial" w:eastAsia="Arial" w:cs="Arial"/>
                <w:sz w:val="22"/>
                <w:szCs w:val="22"/>
              </w:rPr>
              <w:t xml:space="preserve">£3,000,000 </w:t>
            </w:r>
          </w:p>
        </w:tc>
      </w:tr>
      <w:tr w:rsidR="6EF7DA90" w:rsidTr="6EF7DA90" w14:paraId="3C32DB1E">
        <w:trPr>
          <w:trHeight w:val="300"/>
        </w:trPr>
        <w:tc>
          <w:tcPr>
            <w:tcW w:w="2385" w:type="dxa"/>
            <w:tcBorders>
              <w:top w:val="single" w:sz="8"/>
              <w:left w:val="single" w:sz="8"/>
              <w:bottom w:val="single" w:sz="8"/>
              <w:right w:val="single" w:sz="8"/>
            </w:tcBorders>
            <w:tcMar/>
            <w:vAlign w:val="top"/>
          </w:tcPr>
          <w:p w:rsidR="6EF7DA90" w:rsidP="6EF7DA90" w:rsidRDefault="6EF7DA90" w14:paraId="2A891853" w14:textId="5655932A">
            <w:pPr>
              <w:spacing w:before="0" w:beforeAutospacing="off" w:after="0" w:afterAutospacing="off"/>
              <w:rPr/>
            </w:pPr>
            <w:r w:rsidRPr="6EF7DA90" w:rsidR="6EF7DA90">
              <w:rPr>
                <w:rFonts w:ascii="Arial" w:hAnsi="Arial" w:eastAsia="Arial" w:cs="Arial"/>
                <w:sz w:val="22"/>
                <w:szCs w:val="22"/>
              </w:rPr>
              <w:t xml:space="preserve">February 2023 </w:t>
            </w:r>
          </w:p>
        </w:tc>
        <w:tc>
          <w:tcPr>
            <w:tcW w:w="3585" w:type="dxa"/>
            <w:tcBorders>
              <w:top w:val="single" w:sz="8"/>
              <w:left w:val="single" w:sz="8"/>
              <w:bottom w:val="single" w:sz="8"/>
              <w:right w:val="single" w:sz="8"/>
            </w:tcBorders>
            <w:tcMar/>
            <w:vAlign w:val="top"/>
          </w:tcPr>
          <w:p w:rsidR="6EF7DA90" w:rsidP="6EF7DA90" w:rsidRDefault="6EF7DA90" w14:paraId="3C97D4BF" w14:textId="2D63830A">
            <w:pPr>
              <w:spacing w:before="0" w:beforeAutospacing="off" w:after="0" w:afterAutospacing="off"/>
              <w:jc w:val="center"/>
              <w:rPr/>
            </w:pPr>
            <w:r w:rsidRPr="6EF7DA90" w:rsidR="6EF7DA90">
              <w:rPr>
                <w:rFonts w:ascii="Arial" w:hAnsi="Arial" w:eastAsia="Arial" w:cs="Arial"/>
                <w:sz w:val="22"/>
                <w:szCs w:val="22"/>
              </w:rPr>
              <w:t xml:space="preserve">£9,000,000 </w:t>
            </w:r>
          </w:p>
        </w:tc>
      </w:tr>
      <w:tr w:rsidR="6EF7DA90" w:rsidTr="6EF7DA90" w14:paraId="64DE2DFA">
        <w:trPr>
          <w:trHeight w:val="300"/>
        </w:trPr>
        <w:tc>
          <w:tcPr>
            <w:tcW w:w="2385" w:type="dxa"/>
            <w:tcBorders>
              <w:top w:val="single" w:sz="8"/>
              <w:left w:val="single" w:sz="8"/>
              <w:bottom w:val="single" w:sz="8"/>
              <w:right w:val="single" w:sz="8"/>
            </w:tcBorders>
            <w:tcMar/>
            <w:vAlign w:val="top"/>
          </w:tcPr>
          <w:p w:rsidR="6EF7DA90" w:rsidP="6EF7DA90" w:rsidRDefault="6EF7DA90" w14:paraId="24F665E6" w14:textId="743EB8E1">
            <w:pPr>
              <w:spacing w:before="0" w:beforeAutospacing="off" w:after="0" w:afterAutospacing="off"/>
              <w:rPr/>
            </w:pPr>
            <w:r w:rsidRPr="6EF7DA90" w:rsidR="6EF7DA90">
              <w:rPr>
                <w:rFonts w:ascii="Arial" w:hAnsi="Arial" w:eastAsia="Arial" w:cs="Arial"/>
                <w:sz w:val="22"/>
                <w:szCs w:val="22"/>
              </w:rPr>
              <w:t xml:space="preserve">December 2023 </w:t>
            </w:r>
          </w:p>
        </w:tc>
        <w:tc>
          <w:tcPr>
            <w:tcW w:w="3585" w:type="dxa"/>
            <w:tcBorders>
              <w:top w:val="single" w:sz="8"/>
              <w:left w:val="single" w:sz="8"/>
              <w:bottom w:val="single" w:sz="8"/>
              <w:right w:val="single" w:sz="8"/>
            </w:tcBorders>
            <w:tcMar/>
            <w:vAlign w:val="top"/>
          </w:tcPr>
          <w:p w:rsidR="6EF7DA90" w:rsidP="6EF7DA90" w:rsidRDefault="6EF7DA90" w14:paraId="0AD864C3" w14:textId="5A36AEA2">
            <w:pPr>
              <w:spacing w:before="0" w:beforeAutospacing="off" w:after="0" w:afterAutospacing="off"/>
              <w:jc w:val="center"/>
              <w:rPr/>
            </w:pPr>
            <w:r w:rsidRPr="6EF7DA90" w:rsidR="6EF7DA90">
              <w:rPr>
                <w:rFonts w:ascii="Arial" w:hAnsi="Arial" w:eastAsia="Arial" w:cs="Arial"/>
                <w:sz w:val="22"/>
                <w:szCs w:val="22"/>
              </w:rPr>
              <w:t xml:space="preserve">£8,000,000 </w:t>
            </w:r>
          </w:p>
        </w:tc>
      </w:tr>
      <w:tr w:rsidR="6EF7DA90" w:rsidTr="6EF7DA90" w14:paraId="628AA875">
        <w:trPr>
          <w:trHeight w:val="300"/>
        </w:trPr>
        <w:tc>
          <w:tcPr>
            <w:tcW w:w="2385" w:type="dxa"/>
            <w:tcBorders>
              <w:top w:val="single" w:sz="8"/>
              <w:left w:val="single" w:sz="8"/>
              <w:bottom w:val="single" w:sz="8"/>
              <w:right w:val="single" w:sz="8"/>
            </w:tcBorders>
            <w:tcMar/>
            <w:vAlign w:val="top"/>
          </w:tcPr>
          <w:p w:rsidR="6EF7DA90" w:rsidP="6EF7DA90" w:rsidRDefault="6EF7DA90" w14:paraId="0D32D710" w14:textId="6D5A9F96">
            <w:pPr>
              <w:spacing w:before="0" w:beforeAutospacing="off" w:after="0" w:afterAutospacing="off"/>
              <w:rPr/>
            </w:pPr>
            <w:r w:rsidRPr="6EF7DA90" w:rsidR="6EF7DA90">
              <w:rPr>
                <w:rFonts w:ascii="Arial" w:hAnsi="Arial" w:eastAsia="Arial" w:cs="Arial"/>
                <w:sz w:val="22"/>
                <w:szCs w:val="22"/>
              </w:rPr>
              <w:t xml:space="preserve">December 2024 </w:t>
            </w:r>
          </w:p>
        </w:tc>
        <w:tc>
          <w:tcPr>
            <w:tcW w:w="3585" w:type="dxa"/>
            <w:tcBorders>
              <w:top w:val="single" w:sz="8"/>
              <w:left w:val="single" w:sz="8"/>
              <w:bottom w:val="single" w:sz="8"/>
              <w:right w:val="single" w:sz="8"/>
            </w:tcBorders>
            <w:tcMar/>
            <w:vAlign w:val="top"/>
          </w:tcPr>
          <w:p w:rsidR="6EF7DA90" w:rsidP="6EF7DA90" w:rsidRDefault="6EF7DA90" w14:paraId="7BFE6311" w14:textId="02577111">
            <w:pPr>
              <w:spacing w:before="0" w:beforeAutospacing="off" w:after="0" w:afterAutospacing="off"/>
              <w:jc w:val="center"/>
              <w:rPr/>
            </w:pPr>
            <w:r w:rsidRPr="6EF7DA90" w:rsidR="6EF7DA90">
              <w:rPr>
                <w:rFonts w:ascii="Arial" w:hAnsi="Arial" w:eastAsia="Arial" w:cs="Arial"/>
                <w:sz w:val="22"/>
                <w:szCs w:val="22"/>
              </w:rPr>
              <w:t xml:space="preserve">£7,000,000 </w:t>
            </w:r>
          </w:p>
        </w:tc>
      </w:tr>
      <w:tr w:rsidR="6EF7DA90" w:rsidTr="6EF7DA90" w14:paraId="0B98831C">
        <w:trPr>
          <w:trHeight w:val="300"/>
        </w:trPr>
        <w:tc>
          <w:tcPr>
            <w:tcW w:w="2385" w:type="dxa"/>
            <w:tcBorders>
              <w:top w:val="single" w:sz="8"/>
              <w:left w:val="single" w:sz="8"/>
              <w:bottom w:val="single" w:sz="8"/>
              <w:right w:val="single" w:sz="8"/>
            </w:tcBorders>
            <w:tcMar/>
            <w:vAlign w:val="top"/>
          </w:tcPr>
          <w:p w:rsidR="6EF7DA90" w:rsidP="6EF7DA90" w:rsidRDefault="6EF7DA90" w14:paraId="5588136C" w14:textId="11618DDC">
            <w:pPr>
              <w:spacing w:before="0" w:beforeAutospacing="off" w:after="0" w:afterAutospacing="off"/>
              <w:rPr/>
            </w:pPr>
            <w:r w:rsidRPr="6EF7DA90" w:rsidR="6EF7DA90">
              <w:rPr>
                <w:rFonts w:ascii="Arial" w:hAnsi="Arial" w:eastAsia="Arial" w:cs="Arial"/>
                <w:sz w:val="22"/>
                <w:szCs w:val="22"/>
              </w:rPr>
              <w:t xml:space="preserve">March 2024 </w:t>
            </w:r>
          </w:p>
        </w:tc>
        <w:tc>
          <w:tcPr>
            <w:tcW w:w="3585" w:type="dxa"/>
            <w:tcBorders>
              <w:top w:val="single" w:sz="8"/>
              <w:left w:val="single" w:sz="8"/>
              <w:bottom w:val="single" w:sz="8"/>
              <w:right w:val="single" w:sz="8"/>
            </w:tcBorders>
            <w:tcMar/>
            <w:vAlign w:val="top"/>
          </w:tcPr>
          <w:p w:rsidR="6EF7DA90" w:rsidP="6EF7DA90" w:rsidRDefault="6EF7DA90" w14:paraId="37A2C9CF" w14:textId="50A76150">
            <w:pPr>
              <w:spacing w:before="0" w:beforeAutospacing="off" w:after="0" w:afterAutospacing="off"/>
              <w:rPr>
                <w:rFonts w:ascii="Arial" w:hAnsi="Arial" w:eastAsia="Arial" w:cs="Arial"/>
                <w:sz w:val="22"/>
                <w:szCs w:val="22"/>
              </w:rPr>
            </w:pPr>
            <w:r w:rsidRPr="6EF7DA90" w:rsidR="6EF7DA90">
              <w:rPr>
                <w:rFonts w:ascii="Arial" w:hAnsi="Arial" w:eastAsia="Arial" w:cs="Arial"/>
                <w:sz w:val="22"/>
                <w:szCs w:val="22"/>
              </w:rPr>
              <w:t xml:space="preserve">                 £</w:t>
            </w:r>
            <w:r w:rsidRPr="6EF7DA90" w:rsidR="17045B2C">
              <w:rPr>
                <w:rFonts w:ascii="Arial" w:hAnsi="Arial" w:eastAsia="Arial" w:cs="Arial"/>
                <w:sz w:val="22"/>
                <w:szCs w:val="22"/>
              </w:rPr>
              <w:t>3,250,000</w:t>
            </w:r>
          </w:p>
        </w:tc>
      </w:tr>
      <w:tr w:rsidR="6EF7DA90" w:rsidTr="6EF7DA90" w14:paraId="6F2331FF">
        <w:trPr>
          <w:trHeight w:val="300"/>
        </w:trPr>
        <w:tc>
          <w:tcPr>
            <w:tcW w:w="2385" w:type="dxa"/>
            <w:tcBorders>
              <w:top w:val="single" w:sz="8"/>
              <w:left w:val="single" w:sz="8"/>
              <w:bottom w:val="single" w:sz="8"/>
              <w:right w:val="single" w:sz="8"/>
            </w:tcBorders>
            <w:tcMar/>
            <w:vAlign w:val="top"/>
          </w:tcPr>
          <w:p w:rsidR="1D6AF190" w:rsidP="6EF7DA90" w:rsidRDefault="1D6AF190" w14:paraId="4AD00CAC" w14:textId="7D789F7E">
            <w:pPr>
              <w:pStyle w:val="Normal"/>
              <w:rPr>
                <w:rFonts w:ascii="Arial" w:hAnsi="Arial" w:eastAsia="Arial" w:cs="Arial"/>
                <w:b w:val="1"/>
                <w:bCs w:val="1"/>
                <w:sz w:val="22"/>
                <w:szCs w:val="22"/>
              </w:rPr>
            </w:pPr>
            <w:r w:rsidRPr="6EF7DA90" w:rsidR="1D6AF190">
              <w:rPr>
                <w:rFonts w:ascii="Arial" w:hAnsi="Arial" w:eastAsia="Arial" w:cs="Arial"/>
                <w:b w:val="1"/>
                <w:bCs w:val="1"/>
                <w:sz w:val="22"/>
                <w:szCs w:val="22"/>
              </w:rPr>
              <w:t>Total UK Funding:</w:t>
            </w:r>
          </w:p>
        </w:tc>
        <w:tc>
          <w:tcPr>
            <w:tcW w:w="3585" w:type="dxa"/>
            <w:tcBorders>
              <w:top w:val="single" w:sz="8"/>
              <w:left w:val="single" w:sz="8"/>
              <w:bottom w:val="single" w:sz="8"/>
              <w:right w:val="single" w:sz="8"/>
            </w:tcBorders>
            <w:tcMar/>
            <w:vAlign w:val="top"/>
          </w:tcPr>
          <w:p w:rsidR="1D6AF190" w:rsidP="6EF7DA90" w:rsidRDefault="1D6AF190" w14:paraId="52999463" w14:textId="59FB8137">
            <w:pPr>
              <w:pStyle w:val="Normal"/>
              <w:jc w:val="center"/>
              <w:rPr>
                <w:rFonts w:ascii="Arial" w:hAnsi="Arial" w:eastAsia="Arial" w:cs="Arial"/>
                <w:b w:val="1"/>
                <w:bCs w:val="1"/>
                <w:sz w:val="22"/>
                <w:szCs w:val="22"/>
              </w:rPr>
            </w:pPr>
            <w:r w:rsidRPr="6EF7DA90" w:rsidR="1D6AF190">
              <w:rPr>
                <w:rFonts w:ascii="Arial" w:hAnsi="Arial" w:eastAsia="Arial" w:cs="Arial"/>
                <w:b w:val="1"/>
                <w:bCs w:val="1"/>
                <w:sz w:val="22"/>
                <w:szCs w:val="22"/>
              </w:rPr>
              <w:t>£36,250,000</w:t>
            </w:r>
          </w:p>
        </w:tc>
      </w:tr>
    </w:tbl>
    <w:p w:rsidRPr="007E54DC" w:rsidR="00D15D16" w:rsidP="00D15D16" w:rsidRDefault="00D15D16" w14:paraId="4CF832A5" w14:textId="3FDB4817">
      <w:pPr>
        <w:rPr/>
      </w:pPr>
    </w:p>
    <w:p w:rsidRPr="007E54DC" w:rsidR="00D15D16" w:rsidP="6EF7DA90" w:rsidRDefault="00D15D16" w14:paraId="1851136E" w14:textId="3D774E2E">
      <w:pPr>
        <w:pStyle w:val="Normal"/>
        <w:rPr/>
      </w:pPr>
    </w:p>
    <w:p w:rsidR="6EF7DA90" w:rsidP="6EF7DA90" w:rsidRDefault="6EF7DA90" w14:paraId="48C449B3" w14:textId="02FF4458">
      <w:pPr>
        <w:pStyle w:val="Normal"/>
        <w:rPr/>
      </w:pPr>
    </w:p>
    <w:p w:rsidR="6EF7DA90" w:rsidP="6EF7DA90" w:rsidRDefault="6EF7DA90" w14:paraId="7DB56E22" w14:textId="407957FA">
      <w:pPr>
        <w:pStyle w:val="Normal"/>
        <w:rPr/>
      </w:pPr>
    </w:p>
    <w:p w:rsidR="6EF7DA90" w:rsidP="6EF7DA90" w:rsidRDefault="6EF7DA90" w14:paraId="601BE171" w14:textId="02278655">
      <w:pPr>
        <w:pStyle w:val="Normal"/>
        <w:rPr/>
      </w:pPr>
    </w:p>
    <w:p w:rsidR="6EF7DA90" w:rsidP="6EF7DA90" w:rsidRDefault="6EF7DA90" w14:paraId="1BC16618" w14:textId="6EDF7E76">
      <w:pPr>
        <w:pStyle w:val="Normal"/>
        <w:rPr/>
      </w:pPr>
    </w:p>
    <w:p w:rsidR="6EF7DA90" w:rsidP="6EF7DA90" w:rsidRDefault="6EF7DA90" w14:paraId="708BA1A7" w14:textId="5A0E3B17">
      <w:pPr>
        <w:pStyle w:val="Normal"/>
        <w:rPr/>
      </w:pPr>
    </w:p>
    <w:p w:rsidR="6EF7DA90" w:rsidP="6EF7DA90" w:rsidRDefault="6EF7DA90" w14:paraId="738706F5" w14:textId="2E242958">
      <w:pPr>
        <w:pStyle w:val="Normal"/>
        <w:rPr/>
      </w:pPr>
    </w:p>
    <w:p w:rsidR="6EF7DA90" w:rsidP="6EF7DA90" w:rsidRDefault="6EF7DA90" w14:paraId="244D157E" w14:textId="064F4C54">
      <w:pPr>
        <w:pStyle w:val="Normal"/>
        <w:rPr/>
      </w:pPr>
    </w:p>
    <w:p w:rsidR="6EF7DA90" w:rsidP="6EF7DA90" w:rsidRDefault="6EF7DA90" w14:paraId="56499A1F" w14:textId="647E0A3C">
      <w:pPr>
        <w:pStyle w:val="Normal"/>
        <w:rPr/>
      </w:pPr>
    </w:p>
    <w:p w:rsidR="6EF7DA90" w:rsidP="6EF7DA90" w:rsidRDefault="6EF7DA90" w14:paraId="37314DE0" w14:textId="71913A13">
      <w:pPr>
        <w:pStyle w:val="Normal"/>
        <w:rPr/>
      </w:pPr>
    </w:p>
    <w:p w:rsidR="6EF7DA90" w:rsidP="6EF7DA90" w:rsidRDefault="6EF7DA90" w14:paraId="5181CEDA" w14:textId="6269711B">
      <w:pPr>
        <w:pStyle w:val="Normal"/>
        <w:rPr/>
      </w:pPr>
    </w:p>
    <w:p w:rsidR="6EF7DA90" w:rsidP="6EF7DA90" w:rsidRDefault="6EF7DA90" w14:paraId="68CECBF6" w14:textId="50DADE4D">
      <w:pPr>
        <w:pStyle w:val="Normal"/>
        <w:rPr/>
      </w:pPr>
    </w:p>
    <w:p w:rsidR="6EF7DA90" w:rsidP="6EF7DA90" w:rsidRDefault="6EF7DA90" w14:paraId="5CF07C13" w14:textId="61CE7566">
      <w:pPr>
        <w:pStyle w:val="Normal"/>
        <w:rPr/>
      </w:pPr>
    </w:p>
    <w:p w:rsidR="6EF7DA90" w:rsidP="6EF7DA90" w:rsidRDefault="6EF7DA90" w14:paraId="4F3DA3FF" w14:textId="06BA6A01">
      <w:pPr>
        <w:pStyle w:val="Normal"/>
        <w:rPr/>
      </w:pPr>
    </w:p>
    <w:p w:rsidR="6EF7DA90" w:rsidP="6EF7DA90" w:rsidRDefault="6EF7DA90" w14:paraId="6EE48D95" w14:textId="4655B7B6">
      <w:pPr>
        <w:pStyle w:val="Normal"/>
        <w:rPr/>
      </w:pPr>
    </w:p>
    <w:p w:rsidR="6EF7DA90" w:rsidP="6EF7DA90" w:rsidRDefault="6EF7DA90" w14:paraId="605D5FF6" w14:textId="07C25426">
      <w:pPr>
        <w:pStyle w:val="Normal"/>
        <w:rPr/>
      </w:pPr>
    </w:p>
    <w:p w:rsidR="6EF7DA90" w:rsidP="6EF7DA90" w:rsidRDefault="6EF7DA90" w14:paraId="76AB180D" w14:textId="651AA4C0">
      <w:pPr>
        <w:pStyle w:val="Normal"/>
        <w:rPr/>
      </w:pPr>
    </w:p>
    <w:p w:rsidRPr="007E54DC" w:rsidR="00D15D16" w:rsidP="00D15D16" w:rsidRDefault="00480F39" w14:paraId="77B8874F" w14:textId="6BAD8B2D" w14:noSpellErr="1">
      <w:pPr>
        <w:pStyle w:val="Heading1"/>
        <w:rPr/>
      </w:pPr>
      <w:bookmarkStart w:name="_Toc1180919986" w:id="1248380842"/>
      <w:r w:rsidR="00480F39">
        <w:rPr/>
        <w:t>Summary</w:t>
      </w:r>
      <w:bookmarkEnd w:id="1248380842"/>
    </w:p>
    <w:tbl>
      <w:tblPr>
        <w:tblStyle w:val="TableGrid"/>
        <w:tblW w:w="5000" w:type="pct"/>
        <w:tblLook w:val="04A0" w:firstRow="1" w:lastRow="0" w:firstColumn="1" w:lastColumn="0" w:noHBand="0" w:noVBand="1"/>
      </w:tblPr>
      <w:tblGrid>
        <w:gridCol w:w="2615"/>
        <w:gridCol w:w="6391"/>
      </w:tblGrid>
      <w:tr w:rsidRPr="007E54DC" w:rsidR="00D15D16" w:rsidTr="532F72E4" w14:paraId="759238A1" w14:textId="77777777">
        <w:tc>
          <w:tcPr>
            <w:tcW w:w="1452" w:type="pct"/>
          </w:tcPr>
          <w:p w:rsidRPr="007E54DC" w:rsidR="00D15D16" w:rsidP="00D15D16" w:rsidRDefault="00D15D16" w14:paraId="6A69BBDE" w14:textId="77777777">
            <w:pPr>
              <w:spacing w:after="0" w:line="240" w:lineRule="auto"/>
              <w:jc w:val="left"/>
              <w:rPr>
                <w:b/>
                <w:bCs/>
                <w:sz w:val="22"/>
                <w:szCs w:val="22"/>
              </w:rPr>
            </w:pPr>
            <w:r w:rsidRPr="007E54DC">
              <w:rPr>
                <w:b/>
                <w:bCs/>
                <w:sz w:val="22"/>
                <w:szCs w:val="22"/>
              </w:rPr>
              <w:t>Programme Code</w:t>
            </w:r>
          </w:p>
        </w:tc>
        <w:tc>
          <w:tcPr>
            <w:tcW w:w="3548" w:type="pct"/>
          </w:tcPr>
          <w:p w:rsidRPr="007E54DC" w:rsidR="00D15D16" w:rsidP="00D15D16" w:rsidRDefault="001C62FE" w14:paraId="75591547" w14:textId="58B1600B">
            <w:pPr>
              <w:spacing w:after="0" w:line="240" w:lineRule="auto"/>
              <w:jc w:val="left"/>
              <w:rPr>
                <w:sz w:val="22"/>
                <w:szCs w:val="22"/>
              </w:rPr>
            </w:pPr>
            <w:r w:rsidRPr="007E54DC">
              <w:rPr>
                <w:sz w:val="22"/>
                <w:szCs w:val="22"/>
              </w:rPr>
              <w:t>GB-GOV-7-BPFGF</w:t>
            </w:r>
            <w:r w:rsidRPr="007E54DC" w:rsidR="00D15D16">
              <w:rPr>
                <w:sz w:val="22"/>
                <w:szCs w:val="22"/>
              </w:rPr>
              <w:t>C</w:t>
            </w:r>
            <w:r w:rsidRPr="007E54DC" w:rsidR="00491D41">
              <w:rPr>
                <w:sz w:val="22"/>
                <w:szCs w:val="22"/>
              </w:rPr>
              <w:t>R</w:t>
            </w:r>
          </w:p>
        </w:tc>
      </w:tr>
      <w:tr w:rsidRPr="007E54DC" w:rsidR="00D15D16" w:rsidTr="532F72E4" w14:paraId="767CCEC6" w14:textId="77777777">
        <w:tc>
          <w:tcPr>
            <w:tcW w:w="1452" w:type="pct"/>
          </w:tcPr>
          <w:p w:rsidRPr="007E54DC" w:rsidR="00D15D16" w:rsidP="00D15D16" w:rsidRDefault="00D15D16" w14:paraId="059371CD" w14:textId="77777777">
            <w:pPr>
              <w:spacing w:after="0" w:line="240" w:lineRule="auto"/>
              <w:jc w:val="left"/>
              <w:rPr>
                <w:b/>
                <w:bCs/>
                <w:sz w:val="22"/>
                <w:szCs w:val="22"/>
              </w:rPr>
            </w:pPr>
            <w:r w:rsidRPr="007E54DC">
              <w:rPr>
                <w:b/>
                <w:bCs/>
                <w:sz w:val="22"/>
                <w:szCs w:val="22"/>
              </w:rPr>
              <w:t>Programme Name</w:t>
            </w:r>
          </w:p>
        </w:tc>
        <w:tc>
          <w:tcPr>
            <w:tcW w:w="3548" w:type="pct"/>
          </w:tcPr>
          <w:p w:rsidRPr="007E54DC" w:rsidR="00D15D16" w:rsidP="00D15D16" w:rsidRDefault="00D15D16" w14:paraId="04817BF3" w14:textId="77777777">
            <w:pPr>
              <w:spacing w:after="0" w:line="240" w:lineRule="auto"/>
              <w:jc w:val="left"/>
              <w:rPr>
                <w:sz w:val="22"/>
                <w:szCs w:val="22"/>
              </w:rPr>
            </w:pPr>
            <w:r w:rsidRPr="007E54DC">
              <w:rPr>
                <w:sz w:val="22"/>
                <w:szCs w:val="22"/>
              </w:rPr>
              <w:t>Global Fund for Coral Reefs (GFCR)</w:t>
            </w:r>
          </w:p>
        </w:tc>
      </w:tr>
      <w:tr w:rsidRPr="007E54DC" w:rsidR="00D15D16" w:rsidTr="532F72E4" w14:paraId="4EB658B7" w14:textId="77777777">
        <w:tc>
          <w:tcPr>
            <w:tcW w:w="1452" w:type="pct"/>
          </w:tcPr>
          <w:p w:rsidRPr="007E54DC" w:rsidR="00D15D16" w:rsidP="00D15D16" w:rsidRDefault="00D15D16" w14:paraId="2D15764B" w14:textId="77777777">
            <w:pPr>
              <w:spacing w:after="0" w:line="240" w:lineRule="auto"/>
              <w:jc w:val="left"/>
              <w:rPr>
                <w:b/>
                <w:bCs/>
                <w:sz w:val="22"/>
                <w:szCs w:val="22"/>
              </w:rPr>
            </w:pPr>
            <w:r w:rsidRPr="007E54DC">
              <w:rPr>
                <w:b/>
                <w:bCs/>
                <w:sz w:val="22"/>
                <w:szCs w:val="22"/>
              </w:rPr>
              <w:t>Country or Region Targeted</w:t>
            </w:r>
          </w:p>
        </w:tc>
        <w:tc>
          <w:tcPr>
            <w:tcW w:w="3548" w:type="pct"/>
          </w:tcPr>
          <w:p w:rsidRPr="007E54DC" w:rsidR="00D15D16" w:rsidP="00D15D16" w:rsidRDefault="00D15D16" w14:paraId="2B67F889" w14:textId="4434C6E3">
            <w:pPr>
              <w:spacing w:after="0" w:line="240" w:lineRule="auto"/>
              <w:jc w:val="left"/>
              <w:rPr>
                <w:sz w:val="22"/>
                <w:szCs w:val="22"/>
              </w:rPr>
            </w:pPr>
            <w:r w:rsidRPr="007E54DC">
              <w:rPr>
                <w:sz w:val="22"/>
                <w:szCs w:val="22"/>
              </w:rPr>
              <w:t xml:space="preserve">All ODA eligible countries with critical coral reef habitats. Focus includes SIDS, Fiji, Indonesia, Philippines, Maldives, </w:t>
            </w:r>
            <w:r w:rsidRPr="007E54DC" w:rsidR="00BD3371">
              <w:rPr>
                <w:sz w:val="22"/>
                <w:szCs w:val="22"/>
              </w:rPr>
              <w:t>Kenya</w:t>
            </w:r>
            <w:r w:rsidRPr="007E54DC" w:rsidR="00BD3371">
              <w:t>,</w:t>
            </w:r>
            <w:r w:rsidRPr="007E54DC">
              <w:rPr>
                <w:sz w:val="22"/>
                <w:szCs w:val="22"/>
              </w:rPr>
              <w:t xml:space="preserve"> and Tanzania.  </w:t>
            </w:r>
          </w:p>
        </w:tc>
      </w:tr>
      <w:tr w:rsidRPr="007E54DC" w:rsidR="00D15D16" w:rsidTr="532F72E4" w14:paraId="4956CE49" w14:textId="77777777">
        <w:tc>
          <w:tcPr>
            <w:tcW w:w="1452" w:type="pct"/>
          </w:tcPr>
          <w:p w:rsidRPr="007E54DC" w:rsidR="00D15D16" w:rsidP="00D15D16" w:rsidRDefault="00D15D16" w14:paraId="4476401E" w14:textId="77777777">
            <w:pPr>
              <w:spacing w:after="0" w:line="240" w:lineRule="auto"/>
              <w:jc w:val="left"/>
              <w:rPr>
                <w:b/>
                <w:bCs/>
                <w:sz w:val="22"/>
                <w:szCs w:val="22"/>
              </w:rPr>
            </w:pPr>
            <w:r w:rsidRPr="007E54DC">
              <w:rPr>
                <w:b/>
                <w:bCs/>
                <w:sz w:val="22"/>
                <w:szCs w:val="22"/>
              </w:rPr>
              <w:t>Programme Objectives</w:t>
            </w:r>
          </w:p>
        </w:tc>
        <w:tc>
          <w:tcPr>
            <w:tcW w:w="3548" w:type="pct"/>
          </w:tcPr>
          <w:p w:rsidRPr="007E54DC" w:rsidR="00D15D16" w:rsidP="00D15D16" w:rsidRDefault="00D15D16" w14:paraId="07869E5C" w14:textId="27BE5A4B">
            <w:pPr>
              <w:spacing w:after="0" w:line="240" w:lineRule="auto"/>
              <w:jc w:val="left"/>
              <w:rPr>
                <w:sz w:val="22"/>
                <w:szCs w:val="22"/>
              </w:rPr>
            </w:pPr>
            <w:r w:rsidRPr="007E54DC">
              <w:rPr>
                <w:sz w:val="22"/>
                <w:szCs w:val="22"/>
              </w:rPr>
              <w:t xml:space="preserve">The GFCR is the first Multi-partner Trust Fund </w:t>
            </w:r>
            <w:r w:rsidRPr="007E54DC" w:rsidR="00491D41">
              <w:rPr>
                <w:sz w:val="22"/>
                <w:szCs w:val="22"/>
              </w:rPr>
              <w:t xml:space="preserve">designed specifically to deliver on </w:t>
            </w:r>
            <w:r w:rsidRPr="007E54DC">
              <w:rPr>
                <w:sz w:val="22"/>
                <w:szCs w:val="22"/>
              </w:rPr>
              <w:t>Sustainable Development Goal 14</w:t>
            </w:r>
            <w:r w:rsidRPr="007E54DC" w:rsidR="00FF2265">
              <w:rPr>
                <w:sz w:val="22"/>
                <w:szCs w:val="22"/>
              </w:rPr>
              <w:t xml:space="preserve"> “Life Below Water”</w:t>
            </w:r>
            <w:r w:rsidRPr="007E54DC">
              <w:rPr>
                <w:sz w:val="22"/>
                <w:szCs w:val="22"/>
              </w:rPr>
              <w:t>. It provides finance for coral reefs with particular attention on Small Island Developing States. The GFCR will promote a ‘protect-transform-restore-recover’ approach through the creation and management of Marine Protected Areas (MPAs) to save and protect coral reefs in the face of serious decline and extinction.  </w:t>
            </w:r>
          </w:p>
          <w:p w:rsidRPr="007E54DC" w:rsidR="00D15D16" w:rsidP="00D15D16" w:rsidRDefault="00D15D16" w14:paraId="5275F2A2" w14:textId="77777777">
            <w:pPr>
              <w:spacing w:after="0" w:line="240" w:lineRule="auto"/>
              <w:jc w:val="left"/>
              <w:rPr>
                <w:sz w:val="22"/>
                <w:szCs w:val="22"/>
              </w:rPr>
            </w:pPr>
            <w:r w:rsidRPr="007E54DC">
              <w:rPr>
                <w:sz w:val="22"/>
                <w:szCs w:val="22"/>
              </w:rPr>
              <w:t>The GFCR has four main outcomes:  </w:t>
            </w:r>
          </w:p>
          <w:p w:rsidRPr="007E54DC" w:rsidR="00D15D16" w:rsidP="006628DE" w:rsidRDefault="00D15D16" w14:paraId="11EA0812" w14:textId="77777777">
            <w:pPr>
              <w:pStyle w:val="ListParagraph"/>
              <w:numPr>
                <w:ilvl w:val="0"/>
                <w:numId w:val="11"/>
              </w:numPr>
              <w:spacing w:after="0" w:line="240" w:lineRule="auto"/>
              <w:jc w:val="left"/>
              <w:rPr>
                <w:sz w:val="22"/>
                <w:szCs w:val="22"/>
              </w:rPr>
            </w:pPr>
            <w:r w:rsidRPr="007E54DC">
              <w:rPr>
                <w:sz w:val="22"/>
                <w:szCs w:val="22"/>
              </w:rPr>
              <w:t>Protect priority coral reef sites and climate change-affected refugia  </w:t>
            </w:r>
          </w:p>
          <w:p w:rsidRPr="007E54DC" w:rsidR="00D15D16" w:rsidP="006628DE" w:rsidRDefault="00D15D16" w14:paraId="5A445E7F" w14:textId="77777777">
            <w:pPr>
              <w:pStyle w:val="ListParagraph"/>
              <w:numPr>
                <w:ilvl w:val="0"/>
                <w:numId w:val="11"/>
              </w:numPr>
              <w:spacing w:after="0" w:line="240" w:lineRule="auto"/>
              <w:jc w:val="left"/>
              <w:rPr>
                <w:sz w:val="22"/>
                <w:szCs w:val="22"/>
              </w:rPr>
            </w:pPr>
            <w:r w:rsidRPr="007E54DC">
              <w:rPr>
                <w:sz w:val="22"/>
                <w:szCs w:val="22"/>
              </w:rPr>
              <w:t>Transforming the livelihoods of coral reef-dependent communities  </w:t>
            </w:r>
          </w:p>
          <w:p w:rsidRPr="007E54DC" w:rsidR="00D15D16" w:rsidP="006628DE" w:rsidRDefault="00D15D16" w14:paraId="0BEA24AD" w14:textId="77777777">
            <w:pPr>
              <w:pStyle w:val="ListParagraph"/>
              <w:numPr>
                <w:ilvl w:val="0"/>
                <w:numId w:val="11"/>
              </w:numPr>
              <w:spacing w:after="0" w:line="240" w:lineRule="auto"/>
              <w:jc w:val="left"/>
              <w:rPr>
                <w:sz w:val="22"/>
                <w:szCs w:val="22"/>
              </w:rPr>
            </w:pPr>
            <w:r w:rsidRPr="007E54DC">
              <w:rPr>
                <w:sz w:val="22"/>
                <w:szCs w:val="22"/>
              </w:rPr>
              <w:t>Restoration and adaptation technologies  </w:t>
            </w:r>
          </w:p>
          <w:p w:rsidRPr="007E54DC" w:rsidR="00D15D16" w:rsidP="006628DE" w:rsidRDefault="00D15D16" w14:paraId="308DC1F6" w14:textId="52B004A7">
            <w:pPr>
              <w:pStyle w:val="ListParagraph"/>
              <w:numPr>
                <w:ilvl w:val="0"/>
                <w:numId w:val="11"/>
              </w:numPr>
              <w:spacing w:after="0" w:line="240" w:lineRule="auto"/>
              <w:jc w:val="left"/>
              <w:rPr>
                <w:sz w:val="22"/>
                <w:szCs w:val="22"/>
              </w:rPr>
            </w:pPr>
            <w:r w:rsidRPr="007E54DC">
              <w:rPr>
                <w:sz w:val="22"/>
                <w:szCs w:val="22"/>
              </w:rPr>
              <w:t>Recovery of coral reef-dependent communities to major shocks  </w:t>
            </w:r>
          </w:p>
        </w:tc>
      </w:tr>
      <w:tr w:rsidRPr="007E54DC" w:rsidR="00D15D16" w:rsidTr="532F72E4" w14:paraId="61DA854B" w14:textId="77777777">
        <w:tc>
          <w:tcPr>
            <w:tcW w:w="1452" w:type="pct"/>
          </w:tcPr>
          <w:p w:rsidRPr="007E54DC" w:rsidR="00D15D16" w:rsidP="00D15D16" w:rsidRDefault="00D15D16" w14:paraId="2234B125" w14:textId="77777777">
            <w:pPr>
              <w:spacing w:after="0" w:line="240" w:lineRule="auto"/>
              <w:jc w:val="left"/>
              <w:rPr>
                <w:b/>
                <w:bCs/>
                <w:sz w:val="22"/>
                <w:szCs w:val="22"/>
              </w:rPr>
            </w:pPr>
            <w:r w:rsidRPr="007E54DC">
              <w:rPr>
                <w:b/>
                <w:bCs/>
                <w:sz w:val="22"/>
                <w:szCs w:val="22"/>
              </w:rPr>
              <w:t>Original Programme Budget</w:t>
            </w:r>
          </w:p>
        </w:tc>
        <w:tc>
          <w:tcPr>
            <w:tcW w:w="3548" w:type="pct"/>
          </w:tcPr>
          <w:p w:rsidRPr="007E54DC" w:rsidR="00D15D16" w:rsidP="00D15D16" w:rsidRDefault="00D15D16" w14:paraId="5A7C9E20" w14:textId="77777777">
            <w:pPr>
              <w:spacing w:after="0" w:line="240" w:lineRule="auto"/>
              <w:jc w:val="left"/>
              <w:rPr>
                <w:sz w:val="22"/>
                <w:szCs w:val="22"/>
              </w:rPr>
            </w:pPr>
            <w:r w:rsidRPr="007E54DC">
              <w:rPr>
                <w:sz w:val="22"/>
                <w:szCs w:val="22"/>
              </w:rPr>
              <w:t>Original Business Case: £5,000,000  </w:t>
            </w:r>
          </w:p>
          <w:p w:rsidRPr="007E54DC" w:rsidR="00D15D16" w:rsidP="00D15D16" w:rsidRDefault="00D15D16" w14:paraId="79CB089D" w14:textId="77777777">
            <w:pPr>
              <w:spacing w:after="0" w:line="240" w:lineRule="auto"/>
              <w:jc w:val="left"/>
              <w:rPr>
                <w:sz w:val="22"/>
                <w:szCs w:val="22"/>
              </w:rPr>
            </w:pPr>
            <w:r w:rsidRPr="007E54DC">
              <w:rPr>
                <w:sz w:val="22"/>
                <w:szCs w:val="22"/>
              </w:rPr>
              <w:t>Autumn 2021 COP26 Uplift: £1,000,000  </w:t>
            </w:r>
          </w:p>
          <w:p w:rsidRPr="007E54DC" w:rsidR="00D15D16" w:rsidP="00D15D16" w:rsidRDefault="00D15D16" w14:paraId="7D166AD0" w14:textId="77777777">
            <w:pPr>
              <w:spacing w:after="0" w:line="240" w:lineRule="auto"/>
              <w:jc w:val="left"/>
              <w:rPr>
                <w:sz w:val="22"/>
                <w:szCs w:val="22"/>
              </w:rPr>
            </w:pPr>
            <w:r w:rsidRPr="007E54DC">
              <w:rPr>
                <w:sz w:val="22"/>
                <w:szCs w:val="22"/>
              </w:rPr>
              <w:t>2022 extension: £3,000,000 </w:t>
            </w:r>
          </w:p>
          <w:p w:rsidRPr="007E54DC" w:rsidR="00D15D16" w:rsidP="00D15D16" w:rsidRDefault="00D15D16" w14:paraId="600CB076" w14:textId="77777777">
            <w:pPr>
              <w:spacing w:after="0" w:line="240" w:lineRule="auto"/>
              <w:jc w:val="left"/>
              <w:rPr>
                <w:b/>
                <w:bCs/>
                <w:sz w:val="22"/>
                <w:szCs w:val="22"/>
              </w:rPr>
            </w:pPr>
            <w:r w:rsidRPr="007E54DC">
              <w:rPr>
                <w:b/>
                <w:bCs/>
                <w:sz w:val="22"/>
                <w:szCs w:val="22"/>
              </w:rPr>
              <w:t>Total: £9,000,000 </w:t>
            </w:r>
          </w:p>
        </w:tc>
      </w:tr>
      <w:tr w:rsidRPr="007E54DC" w:rsidR="00D15D16" w:rsidTr="532F72E4" w14:paraId="2CEF0376" w14:textId="77777777">
        <w:tc>
          <w:tcPr>
            <w:tcW w:w="1452" w:type="pct"/>
          </w:tcPr>
          <w:p w:rsidRPr="007E54DC" w:rsidR="00D15D16" w:rsidP="00D15D16" w:rsidRDefault="00D15D16" w14:paraId="173873B4" w14:textId="77777777">
            <w:pPr>
              <w:spacing w:after="0" w:line="240" w:lineRule="auto"/>
              <w:jc w:val="left"/>
              <w:rPr>
                <w:b/>
                <w:bCs/>
                <w:sz w:val="22"/>
                <w:szCs w:val="22"/>
              </w:rPr>
            </w:pPr>
            <w:r w:rsidRPr="007E54DC">
              <w:rPr>
                <w:b/>
                <w:bCs/>
                <w:sz w:val="22"/>
                <w:szCs w:val="22"/>
              </w:rPr>
              <w:t>Original Programme Start and End Dates</w:t>
            </w:r>
          </w:p>
        </w:tc>
        <w:tc>
          <w:tcPr>
            <w:tcW w:w="3548" w:type="pct"/>
          </w:tcPr>
          <w:p w:rsidRPr="007E54DC" w:rsidR="00D15D16" w:rsidP="00D15D16" w:rsidRDefault="00D15D16" w14:paraId="6BBB719E" w14:textId="77777777">
            <w:pPr>
              <w:spacing w:after="0" w:line="240" w:lineRule="auto"/>
              <w:jc w:val="left"/>
              <w:rPr>
                <w:sz w:val="22"/>
                <w:szCs w:val="22"/>
              </w:rPr>
            </w:pPr>
            <w:r w:rsidRPr="007E54DC">
              <w:rPr>
                <w:sz w:val="22"/>
                <w:szCs w:val="22"/>
              </w:rPr>
              <w:t>July 2021 – March 2022 </w:t>
            </w:r>
          </w:p>
          <w:p w:rsidRPr="007E54DC" w:rsidR="00D15D16" w:rsidP="00D15D16" w:rsidRDefault="00D15D16" w14:paraId="1102A134" w14:textId="03CADD4C">
            <w:pPr>
              <w:spacing w:after="0" w:line="240" w:lineRule="auto"/>
              <w:jc w:val="left"/>
              <w:rPr>
                <w:sz w:val="22"/>
                <w:szCs w:val="22"/>
              </w:rPr>
            </w:pPr>
          </w:p>
        </w:tc>
      </w:tr>
      <w:tr w:rsidRPr="007E54DC" w:rsidR="00D15D16" w:rsidTr="532F72E4" w14:paraId="3A3BECED" w14:textId="77777777">
        <w:tc>
          <w:tcPr>
            <w:tcW w:w="1452" w:type="pct"/>
          </w:tcPr>
          <w:p w:rsidRPr="007E54DC" w:rsidR="00D15D16" w:rsidP="00D15D16" w:rsidRDefault="00D15D16" w14:paraId="686488DA" w14:textId="77777777">
            <w:pPr>
              <w:spacing w:after="0" w:line="240" w:lineRule="auto"/>
              <w:jc w:val="left"/>
              <w:rPr>
                <w:b/>
                <w:bCs/>
                <w:sz w:val="22"/>
                <w:szCs w:val="22"/>
              </w:rPr>
            </w:pPr>
            <w:r w:rsidRPr="007E54DC">
              <w:rPr>
                <w:b/>
                <w:bCs/>
                <w:sz w:val="22"/>
                <w:szCs w:val="22"/>
              </w:rPr>
              <w:t>Cost Extension Value (If applicable)</w:t>
            </w:r>
          </w:p>
        </w:tc>
        <w:tc>
          <w:tcPr>
            <w:tcW w:w="3548" w:type="pct"/>
          </w:tcPr>
          <w:p w:rsidRPr="007E54DC" w:rsidR="00D15D16" w:rsidP="00D15D16" w:rsidRDefault="0072081D" w14:paraId="73E2FBDE" w14:textId="5D13EED8">
            <w:pPr>
              <w:spacing w:after="0" w:line="240" w:lineRule="auto"/>
              <w:jc w:val="left"/>
              <w:rPr>
                <w:sz w:val="22"/>
                <w:szCs w:val="22"/>
              </w:rPr>
            </w:pPr>
            <w:r w:rsidRPr="007E54DC">
              <w:rPr>
                <w:sz w:val="22"/>
                <w:szCs w:val="22"/>
              </w:rPr>
              <w:t>Total value over 3 years:</w:t>
            </w:r>
            <w:r w:rsidRPr="007E54DC" w:rsidR="00790E9C">
              <w:rPr>
                <w:sz w:val="22"/>
                <w:szCs w:val="22"/>
              </w:rPr>
              <w:t xml:space="preserve"> up to</w:t>
            </w:r>
            <w:r w:rsidRPr="007E54DC">
              <w:rPr>
                <w:sz w:val="22"/>
                <w:szCs w:val="22"/>
              </w:rPr>
              <w:t xml:space="preserve"> </w:t>
            </w:r>
            <w:r w:rsidRPr="007E54DC" w:rsidR="00D15D16">
              <w:rPr>
                <w:sz w:val="22"/>
                <w:szCs w:val="22"/>
              </w:rPr>
              <w:t>£24,000,000</w:t>
            </w:r>
            <w:r w:rsidRPr="007E54DC" w:rsidR="00C51FA2">
              <w:rPr>
                <w:rStyle w:val="FootnoteReference"/>
                <w:sz w:val="22"/>
                <w:szCs w:val="22"/>
              </w:rPr>
              <w:footnoteReference w:id="2"/>
            </w:r>
            <w:r w:rsidRPr="007E54DC" w:rsidR="00D15D16">
              <w:rPr>
                <w:sz w:val="22"/>
                <w:szCs w:val="22"/>
              </w:rPr>
              <w:t> </w:t>
            </w:r>
          </w:p>
          <w:p w:rsidRPr="007E54DC" w:rsidR="00D15D16" w:rsidP="00D15D16" w:rsidRDefault="00D15D16" w14:paraId="7068B7A2" w14:textId="7D5A4443">
            <w:pPr>
              <w:spacing w:after="0" w:line="240" w:lineRule="auto"/>
              <w:jc w:val="left"/>
              <w:rPr>
                <w:sz w:val="22"/>
                <w:szCs w:val="22"/>
              </w:rPr>
            </w:pPr>
            <w:r w:rsidRPr="007E54DC">
              <w:rPr>
                <w:sz w:val="22"/>
                <w:szCs w:val="22"/>
              </w:rPr>
              <w:t>Spending Profile: £9m in 22/23, £8m in 23/24 and £7m in 24/2</w:t>
            </w:r>
            <w:r w:rsidRPr="007E54DC" w:rsidR="004C2209">
              <w:rPr>
                <w:sz w:val="22"/>
                <w:szCs w:val="22"/>
              </w:rPr>
              <w:t>5</w:t>
            </w:r>
            <w:r w:rsidRPr="007E54DC">
              <w:rPr>
                <w:sz w:val="22"/>
                <w:szCs w:val="22"/>
                <w:vertAlign w:val="superscript"/>
              </w:rPr>
              <w:footnoteReference w:id="3"/>
            </w:r>
            <w:r w:rsidRPr="007E54DC">
              <w:rPr>
                <w:sz w:val="22"/>
                <w:szCs w:val="22"/>
              </w:rPr>
              <w:t xml:space="preserve"> </w:t>
            </w:r>
          </w:p>
          <w:p w:rsidRPr="007E54DC" w:rsidR="009A4ADE" w:rsidP="74F7A523" w:rsidRDefault="2AC20CB7" w14:paraId="2D2D344B" w14:textId="2B543785">
            <w:pPr>
              <w:spacing w:after="0" w:line="240" w:lineRule="auto"/>
              <w:jc w:val="left"/>
              <w:rPr>
                <w:sz w:val="22"/>
                <w:szCs w:val="22"/>
              </w:rPr>
            </w:pPr>
            <w:r w:rsidRPr="007E54DC">
              <w:rPr>
                <w:sz w:val="22"/>
                <w:szCs w:val="22"/>
              </w:rPr>
              <w:t>All spend will be RDEL</w:t>
            </w:r>
            <w:r w:rsidRPr="007E54DC" w:rsidR="7DE4235B">
              <w:rPr>
                <w:sz w:val="22"/>
                <w:szCs w:val="22"/>
              </w:rPr>
              <w:t xml:space="preserve">; Defra’s contribution is classed as a current grant and will score to RDEL because the end recipient (GFCR) can use </w:t>
            </w:r>
            <w:r w:rsidRPr="007E54DC" w:rsidR="31AB14DD">
              <w:rPr>
                <w:sz w:val="22"/>
                <w:szCs w:val="22"/>
              </w:rPr>
              <w:t>funding</w:t>
            </w:r>
            <w:r w:rsidRPr="007E54DC" w:rsidR="7DE4235B">
              <w:rPr>
                <w:sz w:val="22"/>
                <w:szCs w:val="22"/>
              </w:rPr>
              <w:t xml:space="preserve"> at their discretion.</w:t>
            </w:r>
          </w:p>
        </w:tc>
      </w:tr>
      <w:tr w:rsidRPr="007E54DC" w:rsidR="00D15D16" w:rsidTr="532F72E4" w14:paraId="614D1CB5" w14:textId="77777777">
        <w:tc>
          <w:tcPr>
            <w:tcW w:w="1452" w:type="pct"/>
          </w:tcPr>
          <w:p w:rsidRPr="007E54DC" w:rsidR="00D15D16" w:rsidP="00D15D16" w:rsidRDefault="00D15D16" w14:paraId="27FD051C" w14:textId="77777777">
            <w:pPr>
              <w:spacing w:after="0" w:line="240" w:lineRule="auto"/>
              <w:jc w:val="left"/>
              <w:rPr>
                <w:b/>
                <w:bCs/>
                <w:sz w:val="22"/>
                <w:szCs w:val="22"/>
              </w:rPr>
            </w:pPr>
            <w:r w:rsidRPr="007E54DC">
              <w:rPr>
                <w:b/>
                <w:bCs/>
                <w:sz w:val="22"/>
                <w:szCs w:val="22"/>
              </w:rPr>
              <w:t xml:space="preserve">New </w:t>
            </w:r>
            <w:proofErr w:type="gramStart"/>
            <w:r w:rsidRPr="007E54DC">
              <w:rPr>
                <w:b/>
                <w:bCs/>
                <w:sz w:val="22"/>
                <w:szCs w:val="22"/>
              </w:rPr>
              <w:t>programme</w:t>
            </w:r>
            <w:proofErr w:type="gramEnd"/>
            <w:r w:rsidRPr="007E54DC">
              <w:rPr>
                <w:b/>
                <w:bCs/>
                <w:sz w:val="22"/>
                <w:szCs w:val="22"/>
              </w:rPr>
              <w:t xml:space="preserve"> end date (if applicable)</w:t>
            </w:r>
          </w:p>
        </w:tc>
        <w:tc>
          <w:tcPr>
            <w:tcW w:w="3548" w:type="pct"/>
          </w:tcPr>
          <w:p w:rsidRPr="007E54DC" w:rsidR="00D15D16" w:rsidP="00D15D16" w:rsidRDefault="00D15D16" w14:paraId="30B9C1D0" w14:textId="77777777">
            <w:pPr>
              <w:spacing w:after="0" w:line="240" w:lineRule="auto"/>
              <w:jc w:val="left"/>
              <w:rPr>
                <w:sz w:val="22"/>
                <w:szCs w:val="22"/>
              </w:rPr>
            </w:pPr>
            <w:r w:rsidRPr="007E54DC">
              <w:rPr>
                <w:sz w:val="22"/>
                <w:szCs w:val="22"/>
              </w:rPr>
              <w:t>March 2025</w:t>
            </w:r>
          </w:p>
        </w:tc>
      </w:tr>
      <w:tr w:rsidRPr="007E54DC" w:rsidR="00D15D16" w:rsidTr="532F72E4" w14:paraId="33CC9034" w14:textId="77777777">
        <w:tc>
          <w:tcPr>
            <w:tcW w:w="1452" w:type="pct"/>
          </w:tcPr>
          <w:p w:rsidRPr="007E54DC" w:rsidR="00D15D16" w:rsidP="00D15D16" w:rsidRDefault="00D15D16" w14:paraId="665324EB" w14:textId="77777777">
            <w:pPr>
              <w:spacing w:after="0" w:line="240" w:lineRule="auto"/>
              <w:jc w:val="left"/>
              <w:rPr>
                <w:b/>
                <w:bCs/>
                <w:sz w:val="22"/>
                <w:szCs w:val="22"/>
              </w:rPr>
            </w:pPr>
            <w:proofErr w:type="spellStart"/>
            <w:r w:rsidRPr="007E54DC">
              <w:rPr>
                <w:b/>
                <w:bCs/>
                <w:sz w:val="22"/>
                <w:szCs w:val="22"/>
              </w:rPr>
              <w:t>DevTracker</w:t>
            </w:r>
            <w:proofErr w:type="spellEnd"/>
            <w:r w:rsidRPr="007E54DC">
              <w:rPr>
                <w:b/>
                <w:bCs/>
                <w:sz w:val="22"/>
                <w:szCs w:val="22"/>
              </w:rPr>
              <w:t xml:space="preserve"> link to original business case</w:t>
            </w:r>
          </w:p>
        </w:tc>
        <w:tc>
          <w:tcPr>
            <w:tcW w:w="3548" w:type="pct"/>
          </w:tcPr>
          <w:p w:rsidR="002324CB" w:rsidP="107A7A8D" w:rsidRDefault="0089739D" w14:paraId="635137A5" w14:textId="249548D1">
            <w:pPr>
              <w:spacing w:after="0" w:line="240" w:lineRule="auto"/>
              <w:jc w:val="left"/>
              <w:rPr>
                <w:rFonts w:ascii="Calibri" w:hAnsi="Calibri" w:eastAsia="Calibri" w:cs="Calibri"/>
                <w:sz w:val="22"/>
                <w:szCs w:val="22"/>
              </w:rPr>
            </w:pPr>
            <w:hyperlink r:id="rId13">
              <w:r w:rsidRPr="532F72E4" w:rsidR="002324CB">
                <w:rPr>
                  <w:rStyle w:val="Hyperlink"/>
                  <w:rFonts w:ascii="Calibri" w:hAnsi="Calibri" w:eastAsia="Calibri" w:cs="Calibri"/>
                  <w:sz w:val="22"/>
                  <w:szCs w:val="22"/>
                </w:rPr>
                <w:t>Full Business Case</w:t>
              </w:r>
            </w:hyperlink>
          </w:p>
          <w:p w:rsidR="002324CB" w:rsidP="107A7A8D" w:rsidRDefault="0089739D" w14:paraId="32B7001E" w14:textId="03D1AFCF">
            <w:pPr>
              <w:spacing w:after="0" w:line="240" w:lineRule="auto"/>
              <w:jc w:val="left"/>
            </w:pPr>
            <w:hyperlink w:history="1" r:id="rId14">
              <w:r w:rsidRPr="002324CB" w:rsidR="002324CB">
                <w:rPr>
                  <w:rStyle w:val="Hyperlink"/>
                  <w:rFonts w:ascii="Calibri" w:hAnsi="Calibri" w:eastAsia="Calibri" w:cs="Calibri"/>
                  <w:sz w:val="22"/>
                  <w:szCs w:val="22"/>
                </w:rPr>
                <w:t>2021 Business Case addendum</w:t>
              </w:r>
            </w:hyperlink>
            <w:r w:rsidR="002324CB">
              <w:t xml:space="preserve"> </w:t>
            </w:r>
          </w:p>
          <w:p w:rsidRPr="007E54DC" w:rsidR="002324CB" w:rsidP="107A7A8D" w:rsidRDefault="002324CB" w14:paraId="1EBC2B0F" w14:textId="29F83932">
            <w:pPr>
              <w:spacing w:after="0" w:line="240" w:lineRule="auto"/>
              <w:jc w:val="left"/>
              <w:rPr>
                <w:rFonts w:ascii="Calibri" w:hAnsi="Calibri" w:eastAsia="Calibri" w:cs="Calibri"/>
                <w:sz w:val="22"/>
                <w:szCs w:val="22"/>
              </w:rPr>
            </w:pPr>
          </w:p>
        </w:tc>
      </w:tr>
      <w:tr w:rsidRPr="007E54DC" w:rsidR="00D15D16" w:rsidTr="532F72E4" w14:paraId="41A90891" w14:textId="77777777">
        <w:tc>
          <w:tcPr>
            <w:tcW w:w="1452" w:type="pct"/>
          </w:tcPr>
          <w:p w:rsidRPr="007E54DC" w:rsidR="00D15D16" w:rsidP="00D15D16" w:rsidRDefault="00D15D16" w14:paraId="49C4E5BE" w14:textId="77777777">
            <w:pPr>
              <w:spacing w:after="0" w:line="240" w:lineRule="auto"/>
              <w:jc w:val="left"/>
              <w:rPr>
                <w:b/>
                <w:bCs/>
                <w:sz w:val="22"/>
                <w:szCs w:val="22"/>
              </w:rPr>
            </w:pPr>
            <w:r w:rsidRPr="007E54DC">
              <w:rPr>
                <w:b/>
                <w:bCs/>
                <w:sz w:val="22"/>
                <w:szCs w:val="22"/>
              </w:rPr>
              <w:t>Links to IAAP, RPA and Accounting Officer Assessment</w:t>
            </w:r>
          </w:p>
        </w:tc>
        <w:tc>
          <w:tcPr>
            <w:tcW w:w="3548" w:type="pct"/>
          </w:tcPr>
          <w:p w:rsidRPr="007E54DC" w:rsidR="007B3351" w:rsidP="00D15D16" w:rsidRDefault="0089739D" w14:paraId="7C906DFC" w14:textId="42C64C41">
            <w:pPr>
              <w:spacing w:after="0" w:line="240" w:lineRule="auto"/>
              <w:jc w:val="left"/>
            </w:pPr>
            <w:hyperlink w:history="1" r:id="rId15">
              <w:r w:rsidRPr="007E54DC" w:rsidR="00E85DFB">
                <w:rPr>
                  <w:rStyle w:val="Hyperlink"/>
                </w:rPr>
                <w:t>GFCR IAAP 26.10.22 V3.docx (sharepoint.com)</w:t>
              </w:r>
            </w:hyperlink>
          </w:p>
          <w:p w:rsidRPr="007E54DC" w:rsidR="00E85DFB" w:rsidP="00D15D16" w:rsidRDefault="0089739D" w14:paraId="21AE9579" w14:textId="2FAE4B13">
            <w:pPr>
              <w:spacing w:after="0" w:line="240" w:lineRule="auto"/>
              <w:jc w:val="left"/>
              <w:rPr>
                <w:sz w:val="22"/>
                <w:szCs w:val="22"/>
              </w:rPr>
            </w:pPr>
            <w:hyperlink w:history="1" r:id="rId16">
              <w:r w:rsidRPr="007E54DC" w:rsidR="00E85DFB">
                <w:rPr>
                  <w:rStyle w:val="Hyperlink"/>
                </w:rPr>
                <w:t>GFCR RPA 2022 V3.docx (sharepoint.com)</w:t>
              </w:r>
            </w:hyperlink>
          </w:p>
        </w:tc>
      </w:tr>
    </w:tbl>
    <w:sdt>
      <w:sdtPr>
        <w:id w:val="1563127697"/>
        <w:docPartObj>
          <w:docPartGallery w:val="Table of Contents"/>
          <w:docPartUnique/>
        </w:docPartObj>
      </w:sdtPr>
      <w:sdtContent>
        <w:p w:rsidRPr="007E54DC" w:rsidR="00480F39" w:rsidP="00A15CD9" w:rsidRDefault="00480F39" w14:paraId="36B4B340" w14:textId="6DF1645D" w14:noSpellErr="1">
          <w:pPr>
            <w:pStyle w:val="TOCHeading"/>
            <w:shd w:val="clear" w:color="auto" w:fill="008938"/>
            <w:spacing w:before="0"/>
            <w:rPr>
              <w:rStyle w:val="Heading1Char"/>
            </w:rPr>
          </w:pPr>
          <w:bookmarkStart w:name="_Toc873762928" w:id="1837486632"/>
          <w:r w:rsidRPr="6EF7DA90" w:rsidR="00480F39">
            <w:rPr>
              <w:rStyle w:val="Heading1Char"/>
            </w:rPr>
            <w:t>Contents</w:t>
          </w:r>
          <w:bookmarkEnd w:id="1837486632"/>
        </w:p>
        <w:p w:rsidRPr="007E54DC" w:rsidR="00CE2FDF" w:rsidP="6EF7DA90" w:rsidRDefault="5056FC58" w14:paraId="523EEE33" w14:textId="51221695">
          <w:pPr>
            <w:pStyle w:val="TOC1"/>
            <w:tabs>
              <w:tab w:val="right" w:leader="dot" w:pos="9015"/>
            </w:tabs>
            <w:rPr>
              <w:rStyle w:val="Hyperlink"/>
              <w:noProof/>
              <w:lang w:eastAsia="en-GB"/>
            </w:rPr>
          </w:pPr>
          <w:r>
            <w:fldChar w:fldCharType="begin"/>
          </w:r>
          <w:r>
            <w:instrText xml:space="preserve">TOC \o "1-3" \h \z \u</w:instrText>
          </w:r>
          <w:r>
            <w:fldChar w:fldCharType="separate"/>
          </w:r>
          <w:hyperlink w:anchor="_Toc1200645618">
            <w:r w:rsidRPr="6EF7DA90" w:rsidR="6EF7DA90">
              <w:rPr>
                <w:rStyle w:val="Hyperlink"/>
              </w:rPr>
              <w:t>Funding summary Update 2024</w:t>
            </w:r>
            <w:r>
              <w:tab/>
            </w:r>
            <w:r>
              <w:fldChar w:fldCharType="begin"/>
            </w:r>
            <w:r>
              <w:instrText xml:space="preserve">PAGEREF _Toc1200645618 \h</w:instrText>
            </w:r>
            <w:r>
              <w:fldChar w:fldCharType="separate"/>
            </w:r>
            <w:r w:rsidRPr="6EF7DA90" w:rsidR="6EF7DA90">
              <w:rPr>
                <w:rStyle w:val="Hyperlink"/>
              </w:rPr>
              <w:t>1</w:t>
            </w:r>
            <w:r>
              <w:fldChar w:fldCharType="end"/>
            </w:r>
          </w:hyperlink>
        </w:p>
        <w:p w:rsidRPr="007E54DC" w:rsidR="00CE2FDF" w:rsidP="6EF7DA90" w:rsidRDefault="0089739D" w14:paraId="5344FEA1" w14:textId="1C0EC202">
          <w:pPr>
            <w:pStyle w:val="TOC1"/>
            <w:tabs>
              <w:tab w:val="right" w:leader="dot" w:pos="9015"/>
            </w:tabs>
            <w:rPr>
              <w:rStyle w:val="Hyperlink"/>
              <w:noProof/>
              <w:lang w:eastAsia="en-GB"/>
            </w:rPr>
          </w:pPr>
          <w:hyperlink w:anchor="_Toc1180919986">
            <w:r w:rsidRPr="6EF7DA90" w:rsidR="6EF7DA90">
              <w:rPr>
                <w:rStyle w:val="Hyperlink"/>
              </w:rPr>
              <w:t>Summary</w:t>
            </w:r>
            <w:r>
              <w:tab/>
            </w:r>
            <w:r>
              <w:fldChar w:fldCharType="begin"/>
            </w:r>
            <w:r>
              <w:instrText xml:space="preserve">PAGEREF _Toc1180919986 \h</w:instrText>
            </w:r>
            <w:r>
              <w:fldChar w:fldCharType="separate"/>
            </w:r>
            <w:r w:rsidRPr="6EF7DA90" w:rsidR="6EF7DA90">
              <w:rPr>
                <w:rStyle w:val="Hyperlink"/>
              </w:rPr>
              <w:t>2</w:t>
            </w:r>
            <w:r>
              <w:fldChar w:fldCharType="end"/>
            </w:r>
          </w:hyperlink>
        </w:p>
        <w:p w:rsidRPr="007E54DC" w:rsidR="00CE2FDF" w:rsidP="6EF7DA90" w:rsidRDefault="0089739D" w14:paraId="18E95A1B" w14:textId="6E397589">
          <w:pPr>
            <w:pStyle w:val="TOC1"/>
            <w:tabs>
              <w:tab w:val="right" w:leader="dot" w:pos="9015"/>
            </w:tabs>
            <w:rPr>
              <w:rStyle w:val="Hyperlink"/>
              <w:noProof/>
              <w:lang w:eastAsia="en-GB"/>
            </w:rPr>
          </w:pPr>
          <w:hyperlink w:anchor="_Toc873762928">
            <w:r w:rsidRPr="6EF7DA90" w:rsidR="6EF7DA90">
              <w:rPr>
                <w:rStyle w:val="Hyperlink"/>
              </w:rPr>
              <w:t>Contents</w:t>
            </w:r>
            <w:r>
              <w:tab/>
            </w:r>
            <w:r>
              <w:fldChar w:fldCharType="begin"/>
            </w:r>
            <w:r>
              <w:instrText xml:space="preserve">PAGEREF _Toc873762928 \h</w:instrText>
            </w:r>
            <w:r>
              <w:fldChar w:fldCharType="separate"/>
            </w:r>
            <w:r w:rsidRPr="6EF7DA90" w:rsidR="6EF7DA90">
              <w:rPr>
                <w:rStyle w:val="Hyperlink"/>
              </w:rPr>
              <w:t>4</w:t>
            </w:r>
            <w:r>
              <w:fldChar w:fldCharType="end"/>
            </w:r>
          </w:hyperlink>
        </w:p>
        <w:p w:rsidRPr="007E54DC" w:rsidR="00CE2FDF" w:rsidP="6EF7DA90" w:rsidRDefault="0089739D" w14:paraId="4B327BB3" w14:textId="33D1E5DE">
          <w:pPr>
            <w:pStyle w:val="TOC1"/>
            <w:tabs>
              <w:tab w:val="right" w:leader="dot" w:pos="9015"/>
            </w:tabs>
            <w:rPr>
              <w:rStyle w:val="Hyperlink"/>
              <w:noProof/>
              <w:lang w:eastAsia="en-GB"/>
            </w:rPr>
          </w:pPr>
          <w:hyperlink w:anchor="_Toc1648752247">
            <w:r w:rsidRPr="6EF7DA90" w:rsidR="6EF7DA90">
              <w:rPr>
                <w:rStyle w:val="Hyperlink"/>
              </w:rPr>
              <w:t>Tables and Figures</w:t>
            </w:r>
            <w:r>
              <w:tab/>
            </w:r>
            <w:r>
              <w:fldChar w:fldCharType="begin"/>
            </w:r>
            <w:r>
              <w:instrText xml:space="preserve">PAGEREF _Toc1648752247 \h</w:instrText>
            </w:r>
            <w:r>
              <w:fldChar w:fldCharType="separate"/>
            </w:r>
            <w:r w:rsidRPr="6EF7DA90" w:rsidR="6EF7DA90">
              <w:rPr>
                <w:rStyle w:val="Hyperlink"/>
              </w:rPr>
              <w:t>4</w:t>
            </w:r>
            <w:r>
              <w:fldChar w:fldCharType="end"/>
            </w:r>
          </w:hyperlink>
        </w:p>
        <w:p w:rsidRPr="007E54DC" w:rsidR="00CE2FDF" w:rsidP="6EF7DA90" w:rsidRDefault="0089739D" w14:paraId="6AC05D36" w14:textId="2F08EE4E">
          <w:pPr>
            <w:pStyle w:val="TOC1"/>
            <w:tabs>
              <w:tab w:val="right" w:leader="dot" w:pos="9015"/>
            </w:tabs>
            <w:rPr>
              <w:rStyle w:val="Hyperlink"/>
              <w:noProof/>
              <w:lang w:eastAsia="en-GB"/>
            </w:rPr>
          </w:pPr>
          <w:hyperlink w:anchor="_Toc690938344">
            <w:r w:rsidRPr="6EF7DA90" w:rsidR="6EF7DA90">
              <w:rPr>
                <w:rStyle w:val="Hyperlink"/>
              </w:rPr>
              <w:t>Glossary</w:t>
            </w:r>
            <w:r>
              <w:tab/>
            </w:r>
            <w:r>
              <w:fldChar w:fldCharType="begin"/>
            </w:r>
            <w:r>
              <w:instrText xml:space="preserve">PAGEREF _Toc690938344 \h</w:instrText>
            </w:r>
            <w:r>
              <w:fldChar w:fldCharType="separate"/>
            </w:r>
            <w:r w:rsidRPr="6EF7DA90" w:rsidR="6EF7DA90">
              <w:rPr>
                <w:rStyle w:val="Hyperlink"/>
              </w:rPr>
              <w:t>5</w:t>
            </w:r>
            <w:r>
              <w:fldChar w:fldCharType="end"/>
            </w:r>
          </w:hyperlink>
        </w:p>
        <w:p w:rsidRPr="007E54DC" w:rsidR="00CE2FDF" w:rsidP="6EF7DA90" w:rsidRDefault="0089739D" w14:paraId="70C4E2FD" w14:textId="1886F403">
          <w:pPr>
            <w:pStyle w:val="TOC1"/>
            <w:tabs>
              <w:tab w:val="right" w:leader="dot" w:pos="9015"/>
            </w:tabs>
            <w:rPr>
              <w:rStyle w:val="Hyperlink"/>
              <w:lang w:eastAsia="en-GB"/>
            </w:rPr>
          </w:pPr>
          <w:hyperlink w:anchor="_Toc1127650727">
            <w:r w:rsidRPr="6EF7DA90" w:rsidR="6EF7DA90">
              <w:rPr>
                <w:rStyle w:val="Hyperlink"/>
              </w:rPr>
              <w:t>Executive Summary</w:t>
            </w:r>
            <w:r>
              <w:tab/>
            </w:r>
            <w:r>
              <w:fldChar w:fldCharType="begin"/>
            </w:r>
            <w:r>
              <w:instrText xml:space="preserve">PAGEREF _Toc1127650727 \h</w:instrText>
            </w:r>
            <w:r>
              <w:fldChar w:fldCharType="separate"/>
            </w:r>
            <w:r w:rsidRPr="6EF7DA90" w:rsidR="6EF7DA90">
              <w:rPr>
                <w:rStyle w:val="Hyperlink"/>
              </w:rPr>
              <w:t>6</w:t>
            </w:r>
            <w:r>
              <w:fldChar w:fldCharType="end"/>
            </w:r>
          </w:hyperlink>
        </w:p>
        <w:p w:rsidRPr="007E54DC" w:rsidR="00CE2FDF" w:rsidP="6EF7DA90" w:rsidRDefault="0089739D" w14:paraId="4C450636" w14:textId="3D809AC3">
          <w:pPr>
            <w:pStyle w:val="TOC1"/>
            <w:tabs>
              <w:tab w:val="right" w:leader="dot" w:pos="9015"/>
            </w:tabs>
            <w:rPr>
              <w:rStyle w:val="Hyperlink"/>
              <w:lang w:eastAsia="en-GB"/>
            </w:rPr>
          </w:pPr>
          <w:hyperlink w:anchor="_Toc87149746">
            <w:r w:rsidRPr="6EF7DA90" w:rsidR="6EF7DA90">
              <w:rPr>
                <w:rStyle w:val="Hyperlink"/>
              </w:rPr>
              <w:t>Section 1: Programme and funding purpose</w:t>
            </w:r>
            <w:r>
              <w:tab/>
            </w:r>
            <w:r>
              <w:fldChar w:fldCharType="begin"/>
            </w:r>
            <w:r>
              <w:instrText xml:space="preserve">PAGEREF _Toc87149746 \h</w:instrText>
            </w:r>
            <w:r>
              <w:fldChar w:fldCharType="separate"/>
            </w:r>
            <w:r w:rsidRPr="6EF7DA90" w:rsidR="6EF7DA90">
              <w:rPr>
                <w:rStyle w:val="Hyperlink"/>
              </w:rPr>
              <w:t>8</w:t>
            </w:r>
            <w:r>
              <w:fldChar w:fldCharType="end"/>
            </w:r>
          </w:hyperlink>
        </w:p>
        <w:p w:rsidRPr="007E54DC" w:rsidR="00CE2FDF" w:rsidP="6EF7DA90" w:rsidRDefault="0089739D" w14:paraId="0F0C1AAA" w14:textId="67650869">
          <w:pPr>
            <w:pStyle w:val="TOC2"/>
            <w:tabs>
              <w:tab w:val="right" w:leader="dot" w:pos="9015"/>
            </w:tabs>
            <w:rPr>
              <w:rStyle w:val="Hyperlink"/>
              <w:noProof/>
              <w:lang w:eastAsia="en-GB"/>
            </w:rPr>
          </w:pPr>
          <w:hyperlink w:anchor="_Toc692965427">
            <w:r w:rsidRPr="6EF7DA90" w:rsidR="6EF7DA90">
              <w:rPr>
                <w:rStyle w:val="Hyperlink"/>
              </w:rPr>
              <w:t>Section 1.1: What is the programme’s purpose?</w:t>
            </w:r>
            <w:r>
              <w:tab/>
            </w:r>
            <w:r>
              <w:fldChar w:fldCharType="begin"/>
            </w:r>
            <w:r>
              <w:instrText xml:space="preserve">PAGEREF _Toc692965427 \h</w:instrText>
            </w:r>
            <w:r>
              <w:fldChar w:fldCharType="separate"/>
            </w:r>
            <w:r w:rsidRPr="6EF7DA90" w:rsidR="6EF7DA90">
              <w:rPr>
                <w:rStyle w:val="Hyperlink"/>
              </w:rPr>
              <w:t>9</w:t>
            </w:r>
            <w:r>
              <w:fldChar w:fldCharType="end"/>
            </w:r>
          </w:hyperlink>
        </w:p>
        <w:p w:rsidRPr="007E54DC" w:rsidR="00CE2FDF" w:rsidP="6EF7DA90" w:rsidRDefault="0089739D" w14:paraId="5E67A573" w14:textId="68D50525">
          <w:pPr>
            <w:pStyle w:val="TOC2"/>
            <w:tabs>
              <w:tab w:val="right" w:leader="dot" w:pos="9015"/>
            </w:tabs>
            <w:rPr>
              <w:rStyle w:val="Hyperlink"/>
              <w:noProof/>
              <w:lang w:eastAsia="en-GB"/>
            </w:rPr>
          </w:pPr>
          <w:hyperlink w:anchor="_Toc1507367372">
            <w:r w:rsidRPr="6EF7DA90" w:rsidR="6EF7DA90">
              <w:rPr>
                <w:rStyle w:val="Hyperlink"/>
              </w:rPr>
              <w:t>Section 1.2: What is the objective of the cost extension or other changes?</w:t>
            </w:r>
            <w:r>
              <w:tab/>
            </w:r>
            <w:r>
              <w:fldChar w:fldCharType="begin"/>
            </w:r>
            <w:r>
              <w:instrText xml:space="preserve">PAGEREF _Toc1507367372 \h</w:instrText>
            </w:r>
            <w:r>
              <w:fldChar w:fldCharType="separate"/>
            </w:r>
            <w:r w:rsidRPr="6EF7DA90" w:rsidR="6EF7DA90">
              <w:rPr>
                <w:rStyle w:val="Hyperlink"/>
              </w:rPr>
              <w:t>11</w:t>
            </w:r>
            <w:r>
              <w:fldChar w:fldCharType="end"/>
            </w:r>
          </w:hyperlink>
        </w:p>
        <w:p w:rsidRPr="007E54DC" w:rsidR="00CE2FDF" w:rsidP="6EF7DA90" w:rsidRDefault="0089739D" w14:paraId="494327BC" w14:textId="52CBD9A7">
          <w:pPr>
            <w:pStyle w:val="TOC3"/>
            <w:tabs>
              <w:tab w:val="right" w:leader="dot" w:pos="9015"/>
            </w:tabs>
            <w:rPr>
              <w:rStyle w:val="Hyperlink"/>
              <w:lang w:eastAsia="en-GB"/>
            </w:rPr>
          </w:pPr>
          <w:hyperlink w:anchor="_Toc877874296">
            <w:r w:rsidRPr="6EF7DA90" w:rsidR="6EF7DA90">
              <w:rPr>
                <w:rStyle w:val="Hyperlink"/>
              </w:rPr>
              <w:t>Objective 1 - Contribution to HMT objectives</w:t>
            </w:r>
            <w:r>
              <w:tab/>
            </w:r>
            <w:r>
              <w:fldChar w:fldCharType="begin"/>
            </w:r>
            <w:r>
              <w:instrText xml:space="preserve">PAGEREF _Toc877874296 \h</w:instrText>
            </w:r>
            <w:r>
              <w:fldChar w:fldCharType="separate"/>
            </w:r>
            <w:r w:rsidRPr="6EF7DA90" w:rsidR="6EF7DA90">
              <w:rPr>
                <w:rStyle w:val="Hyperlink"/>
              </w:rPr>
              <w:t>11</w:t>
            </w:r>
            <w:r>
              <w:fldChar w:fldCharType="end"/>
            </w:r>
          </w:hyperlink>
        </w:p>
        <w:p w:rsidRPr="007E54DC" w:rsidR="00CE2FDF" w:rsidP="6EF7DA90" w:rsidRDefault="0089739D" w14:paraId="305833E9" w14:textId="1CDAF638">
          <w:pPr>
            <w:pStyle w:val="TOC3"/>
            <w:tabs>
              <w:tab w:val="right" w:leader="dot" w:pos="9015"/>
            </w:tabs>
            <w:rPr>
              <w:rStyle w:val="Hyperlink"/>
              <w:noProof/>
              <w:lang w:eastAsia="en-GB"/>
            </w:rPr>
          </w:pPr>
          <w:hyperlink w:anchor="_Toc729369017">
            <w:r w:rsidRPr="6EF7DA90" w:rsidR="6EF7DA90">
              <w:rPr>
                <w:rStyle w:val="Hyperlink"/>
              </w:rPr>
              <w:t>Objective 2 – Provision of support to GFCR projects</w:t>
            </w:r>
            <w:r>
              <w:tab/>
            </w:r>
            <w:r>
              <w:fldChar w:fldCharType="begin"/>
            </w:r>
            <w:r>
              <w:instrText xml:space="preserve">PAGEREF _Toc729369017 \h</w:instrText>
            </w:r>
            <w:r>
              <w:fldChar w:fldCharType="separate"/>
            </w:r>
            <w:r w:rsidRPr="6EF7DA90" w:rsidR="6EF7DA90">
              <w:rPr>
                <w:rStyle w:val="Hyperlink"/>
              </w:rPr>
              <w:t>11</w:t>
            </w:r>
            <w:r>
              <w:fldChar w:fldCharType="end"/>
            </w:r>
          </w:hyperlink>
        </w:p>
        <w:p w:rsidRPr="007E54DC" w:rsidR="00CE2FDF" w:rsidP="6EF7DA90" w:rsidRDefault="0089739D" w14:paraId="42CC389A" w14:textId="01690DE1">
          <w:pPr>
            <w:pStyle w:val="TOC2"/>
            <w:tabs>
              <w:tab w:val="right" w:leader="dot" w:pos="9015"/>
            </w:tabs>
            <w:rPr>
              <w:rStyle w:val="Hyperlink"/>
              <w:lang w:eastAsia="en-GB"/>
            </w:rPr>
          </w:pPr>
          <w:hyperlink w:anchor="_Toc1107257887">
            <w:r w:rsidRPr="6EF7DA90" w:rsidR="6EF7DA90">
              <w:rPr>
                <w:rStyle w:val="Hyperlink"/>
              </w:rPr>
              <w:t>Section 1.3: What is the additional and total support the UK will provide?</w:t>
            </w:r>
            <w:r>
              <w:tab/>
            </w:r>
            <w:r>
              <w:fldChar w:fldCharType="begin"/>
            </w:r>
            <w:r>
              <w:instrText xml:space="preserve">PAGEREF _Toc1107257887 \h</w:instrText>
            </w:r>
            <w:r>
              <w:fldChar w:fldCharType="separate"/>
            </w:r>
            <w:r w:rsidRPr="6EF7DA90" w:rsidR="6EF7DA90">
              <w:rPr>
                <w:rStyle w:val="Hyperlink"/>
              </w:rPr>
              <w:t>15</w:t>
            </w:r>
            <w:r>
              <w:fldChar w:fldCharType="end"/>
            </w:r>
          </w:hyperlink>
        </w:p>
        <w:p w:rsidRPr="007E54DC" w:rsidR="00CE2FDF" w:rsidP="6EF7DA90" w:rsidRDefault="0089739D" w14:paraId="2FA4464F" w14:textId="7640BB15">
          <w:pPr>
            <w:pStyle w:val="TOC1"/>
            <w:tabs>
              <w:tab w:val="right" w:leader="dot" w:pos="9015"/>
            </w:tabs>
            <w:rPr>
              <w:rStyle w:val="Hyperlink"/>
              <w:noProof/>
              <w:lang w:eastAsia="en-GB"/>
            </w:rPr>
          </w:pPr>
          <w:hyperlink w:anchor="_Toc530297750">
            <w:r w:rsidRPr="6EF7DA90" w:rsidR="6EF7DA90">
              <w:rPr>
                <w:rStyle w:val="Hyperlink"/>
              </w:rPr>
              <w:t>Section 2: Expected impact</w:t>
            </w:r>
            <w:r>
              <w:tab/>
            </w:r>
            <w:r>
              <w:fldChar w:fldCharType="begin"/>
            </w:r>
            <w:r>
              <w:instrText xml:space="preserve">PAGEREF _Toc530297750 \h</w:instrText>
            </w:r>
            <w:r>
              <w:fldChar w:fldCharType="separate"/>
            </w:r>
            <w:r w:rsidRPr="6EF7DA90" w:rsidR="6EF7DA90">
              <w:rPr>
                <w:rStyle w:val="Hyperlink"/>
              </w:rPr>
              <w:t>16</w:t>
            </w:r>
            <w:r>
              <w:fldChar w:fldCharType="end"/>
            </w:r>
          </w:hyperlink>
        </w:p>
        <w:p w:rsidRPr="007E54DC" w:rsidR="00CE2FDF" w:rsidP="6EF7DA90" w:rsidRDefault="0089739D" w14:paraId="4C2A20C9" w14:textId="7DEBEBA5">
          <w:pPr>
            <w:pStyle w:val="TOC2"/>
            <w:tabs>
              <w:tab w:val="right" w:leader="dot" w:pos="9015"/>
            </w:tabs>
            <w:rPr>
              <w:rStyle w:val="Hyperlink"/>
              <w:noProof/>
              <w:lang w:eastAsia="en-GB"/>
            </w:rPr>
          </w:pPr>
          <w:hyperlink w:anchor="_Toc1119951713">
            <w:r w:rsidRPr="6EF7DA90" w:rsidR="6EF7DA90">
              <w:rPr>
                <w:rStyle w:val="Hyperlink"/>
              </w:rPr>
              <w:t>Section 2.1: What are the expected results?</w:t>
            </w:r>
            <w:r>
              <w:tab/>
            </w:r>
            <w:r>
              <w:fldChar w:fldCharType="begin"/>
            </w:r>
            <w:r>
              <w:instrText xml:space="preserve">PAGEREF _Toc1119951713 \h</w:instrText>
            </w:r>
            <w:r>
              <w:fldChar w:fldCharType="separate"/>
            </w:r>
            <w:r w:rsidRPr="6EF7DA90" w:rsidR="6EF7DA90">
              <w:rPr>
                <w:rStyle w:val="Hyperlink"/>
              </w:rPr>
              <w:t>16</w:t>
            </w:r>
            <w:r>
              <w:fldChar w:fldCharType="end"/>
            </w:r>
          </w:hyperlink>
        </w:p>
        <w:p w:rsidRPr="007E54DC" w:rsidR="00CE2FDF" w:rsidP="6EF7DA90" w:rsidRDefault="0089739D" w14:paraId="0738A1EE" w14:textId="05FD52B9">
          <w:pPr>
            <w:pStyle w:val="TOC3"/>
            <w:tabs>
              <w:tab w:val="right" w:leader="dot" w:pos="9015"/>
            </w:tabs>
            <w:rPr>
              <w:rStyle w:val="Hyperlink"/>
              <w:lang w:eastAsia="en-GB"/>
            </w:rPr>
          </w:pPr>
          <w:hyperlink w:anchor="_Toc696311570">
            <w:r w:rsidRPr="6EF7DA90" w:rsidR="6EF7DA90">
              <w:rPr>
                <w:rStyle w:val="Hyperlink"/>
              </w:rPr>
              <w:t>Performance against BPF Key Performance Indicators</w:t>
            </w:r>
            <w:r>
              <w:tab/>
            </w:r>
            <w:r>
              <w:fldChar w:fldCharType="begin"/>
            </w:r>
            <w:r>
              <w:instrText xml:space="preserve">PAGEREF _Toc696311570 \h</w:instrText>
            </w:r>
            <w:r>
              <w:fldChar w:fldCharType="separate"/>
            </w:r>
            <w:r w:rsidRPr="6EF7DA90" w:rsidR="6EF7DA90">
              <w:rPr>
                <w:rStyle w:val="Hyperlink"/>
              </w:rPr>
              <w:t>17</w:t>
            </w:r>
            <w:r>
              <w:fldChar w:fldCharType="end"/>
            </w:r>
          </w:hyperlink>
        </w:p>
        <w:p w:rsidRPr="007E54DC" w:rsidR="00CE2FDF" w:rsidP="6EF7DA90" w:rsidRDefault="0089739D" w14:paraId="22A8D1F3" w14:textId="7EB505F4">
          <w:pPr>
            <w:pStyle w:val="TOC3"/>
            <w:tabs>
              <w:tab w:val="right" w:leader="dot" w:pos="9015"/>
            </w:tabs>
            <w:rPr>
              <w:rStyle w:val="Hyperlink"/>
              <w:noProof/>
              <w:lang w:eastAsia="en-GB"/>
            </w:rPr>
          </w:pPr>
          <w:hyperlink w:anchor="_Toc2122783416">
            <w:r w:rsidRPr="6EF7DA90" w:rsidR="6EF7DA90">
              <w:rPr>
                <w:rStyle w:val="Hyperlink"/>
              </w:rPr>
              <w:t>Performance – Year 1 Annual Review</w:t>
            </w:r>
            <w:r>
              <w:tab/>
            </w:r>
            <w:r>
              <w:fldChar w:fldCharType="begin"/>
            </w:r>
            <w:r>
              <w:instrText xml:space="preserve">PAGEREF _Toc2122783416 \h</w:instrText>
            </w:r>
            <w:r>
              <w:fldChar w:fldCharType="separate"/>
            </w:r>
            <w:r w:rsidRPr="6EF7DA90" w:rsidR="6EF7DA90">
              <w:rPr>
                <w:rStyle w:val="Hyperlink"/>
              </w:rPr>
              <w:t>18</w:t>
            </w:r>
            <w:r>
              <w:fldChar w:fldCharType="end"/>
            </w:r>
          </w:hyperlink>
        </w:p>
        <w:p w:rsidRPr="007E54DC" w:rsidR="00CE2FDF" w:rsidP="6EF7DA90" w:rsidRDefault="0089739D" w14:paraId="418B0A61" w14:textId="29AD8B86">
          <w:pPr>
            <w:pStyle w:val="TOC2"/>
            <w:tabs>
              <w:tab w:val="right" w:leader="dot" w:pos="9015"/>
            </w:tabs>
            <w:rPr>
              <w:rStyle w:val="Hyperlink"/>
              <w:noProof/>
              <w:lang w:eastAsia="en-GB"/>
            </w:rPr>
          </w:pPr>
          <w:hyperlink w:anchor="_Toc405332374">
            <w:r w:rsidRPr="6EF7DA90" w:rsidR="6EF7DA90">
              <w:rPr>
                <w:rStyle w:val="Hyperlink"/>
              </w:rPr>
              <w:t>Section 2.2: Economic Appraisal</w:t>
            </w:r>
            <w:r>
              <w:tab/>
            </w:r>
            <w:r>
              <w:fldChar w:fldCharType="begin"/>
            </w:r>
            <w:r>
              <w:instrText xml:space="preserve">PAGEREF _Toc405332374 \h</w:instrText>
            </w:r>
            <w:r>
              <w:fldChar w:fldCharType="separate"/>
            </w:r>
            <w:r w:rsidRPr="6EF7DA90" w:rsidR="6EF7DA90">
              <w:rPr>
                <w:rStyle w:val="Hyperlink"/>
              </w:rPr>
              <w:t>20</w:t>
            </w:r>
            <w:r>
              <w:fldChar w:fldCharType="end"/>
            </w:r>
          </w:hyperlink>
        </w:p>
        <w:p w:rsidRPr="007E54DC" w:rsidR="00CE2FDF" w:rsidP="6EF7DA90" w:rsidRDefault="0089739D" w14:paraId="0E1A006F" w14:textId="090BFED3">
          <w:pPr>
            <w:pStyle w:val="TOC3"/>
            <w:tabs>
              <w:tab w:val="right" w:leader="dot" w:pos="9015"/>
            </w:tabs>
            <w:rPr>
              <w:rStyle w:val="Hyperlink"/>
              <w:noProof/>
              <w:lang w:eastAsia="en-GB"/>
            </w:rPr>
          </w:pPr>
          <w:hyperlink w:anchor="_Toc929603109">
            <w:r w:rsidRPr="6EF7DA90" w:rsidR="6EF7DA90">
              <w:rPr>
                <w:rStyle w:val="Hyperlink"/>
              </w:rPr>
              <w:t>Benefits</w:t>
            </w:r>
            <w:r>
              <w:tab/>
            </w:r>
            <w:r>
              <w:fldChar w:fldCharType="begin"/>
            </w:r>
            <w:r>
              <w:instrText xml:space="preserve">PAGEREF _Toc929603109 \h</w:instrText>
            </w:r>
            <w:r>
              <w:fldChar w:fldCharType="separate"/>
            </w:r>
            <w:r w:rsidRPr="6EF7DA90" w:rsidR="6EF7DA90">
              <w:rPr>
                <w:rStyle w:val="Hyperlink"/>
              </w:rPr>
              <w:t>21</w:t>
            </w:r>
            <w:r>
              <w:fldChar w:fldCharType="end"/>
            </w:r>
          </w:hyperlink>
        </w:p>
        <w:p w:rsidRPr="007E54DC" w:rsidR="00CE2FDF" w:rsidP="6EF7DA90" w:rsidRDefault="0089739D" w14:paraId="168F69F5" w14:textId="471E3FAE">
          <w:pPr>
            <w:pStyle w:val="TOC3"/>
            <w:tabs>
              <w:tab w:val="right" w:leader="dot" w:pos="9015"/>
            </w:tabs>
            <w:rPr>
              <w:rStyle w:val="Hyperlink"/>
              <w:noProof/>
              <w:lang w:eastAsia="en-GB"/>
            </w:rPr>
          </w:pPr>
          <w:hyperlink w:anchor="_Toc1901281624">
            <w:r w:rsidRPr="6EF7DA90" w:rsidR="6EF7DA90">
              <w:rPr>
                <w:rStyle w:val="Hyperlink"/>
              </w:rPr>
              <w:t>Value for Money</w:t>
            </w:r>
            <w:r>
              <w:tab/>
            </w:r>
            <w:r>
              <w:fldChar w:fldCharType="begin"/>
            </w:r>
            <w:r>
              <w:instrText xml:space="preserve">PAGEREF _Toc1901281624 \h</w:instrText>
            </w:r>
            <w:r>
              <w:fldChar w:fldCharType="separate"/>
            </w:r>
            <w:r w:rsidRPr="6EF7DA90" w:rsidR="6EF7DA90">
              <w:rPr>
                <w:rStyle w:val="Hyperlink"/>
              </w:rPr>
              <w:t>22</w:t>
            </w:r>
            <w:r>
              <w:fldChar w:fldCharType="end"/>
            </w:r>
          </w:hyperlink>
        </w:p>
        <w:p w:rsidRPr="007E54DC" w:rsidR="00CE2FDF" w:rsidP="6EF7DA90" w:rsidRDefault="0089739D" w14:paraId="16E0A85C" w14:textId="247F0852">
          <w:pPr>
            <w:pStyle w:val="TOC3"/>
            <w:tabs>
              <w:tab w:val="right" w:leader="dot" w:pos="9015"/>
            </w:tabs>
            <w:rPr>
              <w:rStyle w:val="Hyperlink"/>
              <w:lang w:eastAsia="en-GB"/>
            </w:rPr>
          </w:pPr>
          <w:hyperlink w:anchor="_Toc1803682068">
            <w:r w:rsidRPr="6EF7DA90" w:rsidR="6EF7DA90">
              <w:rPr>
                <w:rStyle w:val="Hyperlink"/>
              </w:rPr>
              <w:t>Risk Summary</w:t>
            </w:r>
            <w:r>
              <w:tab/>
            </w:r>
            <w:r>
              <w:fldChar w:fldCharType="begin"/>
            </w:r>
            <w:r>
              <w:instrText xml:space="preserve">PAGEREF _Toc1803682068 \h</w:instrText>
            </w:r>
            <w:r>
              <w:fldChar w:fldCharType="separate"/>
            </w:r>
            <w:r w:rsidRPr="6EF7DA90" w:rsidR="6EF7DA90">
              <w:rPr>
                <w:rStyle w:val="Hyperlink"/>
              </w:rPr>
              <w:t>23</w:t>
            </w:r>
            <w:r>
              <w:fldChar w:fldCharType="end"/>
            </w:r>
          </w:hyperlink>
        </w:p>
        <w:p w:rsidRPr="007E54DC" w:rsidR="00CE2FDF" w:rsidP="6EF7DA90" w:rsidRDefault="0089739D" w14:paraId="43A7886B" w14:textId="10A069FA">
          <w:pPr>
            <w:pStyle w:val="TOC1"/>
            <w:tabs>
              <w:tab w:val="right" w:leader="dot" w:pos="9015"/>
            </w:tabs>
            <w:rPr>
              <w:rStyle w:val="Hyperlink"/>
              <w:lang w:eastAsia="en-GB"/>
            </w:rPr>
          </w:pPr>
          <w:hyperlink w:anchor="_Toc954539185">
            <w:r w:rsidRPr="6EF7DA90" w:rsidR="6EF7DA90">
              <w:rPr>
                <w:rStyle w:val="Hyperlink"/>
              </w:rPr>
              <w:t>Section 3: Implementation</w:t>
            </w:r>
            <w:r>
              <w:tab/>
            </w:r>
            <w:r>
              <w:fldChar w:fldCharType="begin"/>
            </w:r>
            <w:r>
              <w:instrText xml:space="preserve">PAGEREF _Toc954539185 \h</w:instrText>
            </w:r>
            <w:r>
              <w:fldChar w:fldCharType="separate"/>
            </w:r>
            <w:r w:rsidRPr="6EF7DA90" w:rsidR="6EF7DA90">
              <w:rPr>
                <w:rStyle w:val="Hyperlink"/>
              </w:rPr>
              <w:t>23</w:t>
            </w:r>
            <w:r>
              <w:fldChar w:fldCharType="end"/>
            </w:r>
          </w:hyperlink>
        </w:p>
        <w:p w:rsidRPr="007E54DC" w:rsidR="00CE2FDF" w:rsidP="6EF7DA90" w:rsidRDefault="0089739D" w14:paraId="0D295727" w14:textId="78AAF0DF">
          <w:pPr>
            <w:pStyle w:val="TOC2"/>
            <w:tabs>
              <w:tab w:val="right" w:leader="dot" w:pos="9015"/>
            </w:tabs>
            <w:rPr>
              <w:rStyle w:val="Hyperlink"/>
              <w:noProof/>
              <w:lang w:eastAsia="en-GB"/>
            </w:rPr>
          </w:pPr>
          <w:hyperlink w:anchor="_Toc1471274408">
            <w:r w:rsidRPr="6EF7DA90" w:rsidR="6EF7DA90">
              <w:rPr>
                <w:rStyle w:val="Hyperlink"/>
              </w:rPr>
              <w:t>Section 3.1: What is the approach to implementation?</w:t>
            </w:r>
            <w:r>
              <w:tab/>
            </w:r>
            <w:r>
              <w:fldChar w:fldCharType="begin"/>
            </w:r>
            <w:r>
              <w:instrText xml:space="preserve">PAGEREF _Toc1471274408 \h</w:instrText>
            </w:r>
            <w:r>
              <w:fldChar w:fldCharType="separate"/>
            </w:r>
            <w:r w:rsidRPr="6EF7DA90" w:rsidR="6EF7DA90">
              <w:rPr>
                <w:rStyle w:val="Hyperlink"/>
              </w:rPr>
              <w:t>23</w:t>
            </w:r>
            <w:r>
              <w:fldChar w:fldCharType="end"/>
            </w:r>
          </w:hyperlink>
        </w:p>
        <w:p w:rsidRPr="007E54DC" w:rsidR="00CE2FDF" w:rsidP="6EF7DA90" w:rsidRDefault="0089739D" w14:paraId="06012453" w14:textId="22E3C263">
          <w:pPr>
            <w:pStyle w:val="TOC2"/>
            <w:tabs>
              <w:tab w:val="right" w:leader="dot" w:pos="9015"/>
            </w:tabs>
            <w:rPr>
              <w:rStyle w:val="Hyperlink"/>
              <w:noProof/>
              <w:lang w:eastAsia="en-GB"/>
            </w:rPr>
          </w:pPr>
          <w:hyperlink w:anchor="_Toc302693627">
            <w:r w:rsidRPr="6EF7DA90" w:rsidR="6EF7DA90">
              <w:rPr>
                <w:rStyle w:val="Hyperlink"/>
              </w:rPr>
              <w:t>Section 3.2: Defra and HMG governance</w:t>
            </w:r>
            <w:r>
              <w:tab/>
            </w:r>
            <w:r>
              <w:fldChar w:fldCharType="begin"/>
            </w:r>
            <w:r>
              <w:instrText xml:space="preserve">PAGEREF _Toc302693627 \h</w:instrText>
            </w:r>
            <w:r>
              <w:fldChar w:fldCharType="separate"/>
            </w:r>
            <w:r w:rsidRPr="6EF7DA90" w:rsidR="6EF7DA90">
              <w:rPr>
                <w:rStyle w:val="Hyperlink"/>
              </w:rPr>
              <w:t>24</w:t>
            </w:r>
            <w:r>
              <w:fldChar w:fldCharType="end"/>
            </w:r>
          </w:hyperlink>
        </w:p>
        <w:p w:rsidRPr="007E54DC" w:rsidR="00CE2FDF" w:rsidP="6EF7DA90" w:rsidRDefault="0089739D" w14:paraId="74DB3D9F" w14:textId="51974ED4">
          <w:pPr>
            <w:pStyle w:val="TOC3"/>
            <w:tabs>
              <w:tab w:val="right" w:leader="dot" w:pos="9015"/>
            </w:tabs>
            <w:rPr>
              <w:rStyle w:val="Hyperlink"/>
              <w:noProof/>
              <w:lang w:eastAsia="en-GB"/>
            </w:rPr>
          </w:pPr>
          <w:hyperlink w:anchor="_Toc1795471449">
            <w:r w:rsidRPr="6EF7DA90" w:rsidR="6EF7DA90">
              <w:rPr>
                <w:rStyle w:val="Hyperlink"/>
              </w:rPr>
              <w:t>Options to enhance the approach</w:t>
            </w:r>
            <w:r>
              <w:tab/>
            </w:r>
            <w:r>
              <w:fldChar w:fldCharType="begin"/>
            </w:r>
            <w:r>
              <w:instrText xml:space="preserve">PAGEREF _Toc1795471449 \h</w:instrText>
            </w:r>
            <w:r>
              <w:fldChar w:fldCharType="separate"/>
            </w:r>
            <w:r w:rsidRPr="6EF7DA90" w:rsidR="6EF7DA90">
              <w:rPr>
                <w:rStyle w:val="Hyperlink"/>
              </w:rPr>
              <w:t>25</w:t>
            </w:r>
            <w:r>
              <w:fldChar w:fldCharType="end"/>
            </w:r>
          </w:hyperlink>
        </w:p>
        <w:p w:rsidRPr="007E54DC" w:rsidR="00CE2FDF" w:rsidP="6EF7DA90" w:rsidRDefault="0089739D" w14:paraId="19D7E2D1" w14:textId="00C52DE5">
          <w:pPr>
            <w:pStyle w:val="TOC3"/>
            <w:tabs>
              <w:tab w:val="right" w:leader="dot" w:pos="9015"/>
            </w:tabs>
            <w:rPr>
              <w:rStyle w:val="Hyperlink"/>
              <w:noProof/>
              <w:lang w:eastAsia="en-GB"/>
            </w:rPr>
          </w:pPr>
          <w:hyperlink w:anchor="_Toc1902658272">
            <w:r w:rsidRPr="6EF7DA90" w:rsidR="6EF7DA90">
              <w:rPr>
                <w:rStyle w:val="Hyperlink"/>
              </w:rPr>
              <w:t>Gender</w:t>
            </w:r>
            <w:r>
              <w:tab/>
            </w:r>
            <w:r>
              <w:fldChar w:fldCharType="begin"/>
            </w:r>
            <w:r>
              <w:instrText xml:space="preserve">PAGEREF _Toc1902658272 \h</w:instrText>
            </w:r>
            <w:r>
              <w:fldChar w:fldCharType="separate"/>
            </w:r>
            <w:r w:rsidRPr="6EF7DA90" w:rsidR="6EF7DA90">
              <w:rPr>
                <w:rStyle w:val="Hyperlink"/>
              </w:rPr>
              <w:t>26</w:t>
            </w:r>
            <w:r>
              <w:fldChar w:fldCharType="end"/>
            </w:r>
          </w:hyperlink>
        </w:p>
        <w:p w:rsidRPr="007E54DC" w:rsidR="00CE2FDF" w:rsidP="6EF7DA90" w:rsidRDefault="0089739D" w14:paraId="0A252EB1" w14:textId="61612C59">
          <w:pPr>
            <w:pStyle w:val="TOC3"/>
            <w:tabs>
              <w:tab w:val="right" w:leader="dot" w:pos="9015"/>
            </w:tabs>
            <w:rPr>
              <w:rStyle w:val="Hyperlink"/>
              <w:noProof/>
              <w:lang w:eastAsia="en-GB"/>
            </w:rPr>
          </w:pPr>
          <w:hyperlink w:anchor="_Toc215359608">
            <w:r w:rsidRPr="6EF7DA90" w:rsidR="6EF7DA90">
              <w:rPr>
                <w:rStyle w:val="Hyperlink"/>
              </w:rPr>
              <w:t>Safeguarding</w:t>
            </w:r>
            <w:r>
              <w:tab/>
            </w:r>
            <w:r>
              <w:fldChar w:fldCharType="begin"/>
            </w:r>
            <w:r>
              <w:instrText xml:space="preserve">PAGEREF _Toc215359608 \h</w:instrText>
            </w:r>
            <w:r>
              <w:fldChar w:fldCharType="separate"/>
            </w:r>
            <w:r w:rsidRPr="6EF7DA90" w:rsidR="6EF7DA90">
              <w:rPr>
                <w:rStyle w:val="Hyperlink"/>
              </w:rPr>
              <w:t>26</w:t>
            </w:r>
            <w:r>
              <w:fldChar w:fldCharType="end"/>
            </w:r>
          </w:hyperlink>
        </w:p>
        <w:p w:rsidRPr="007E54DC" w:rsidR="00CE2FDF" w:rsidP="6EF7DA90" w:rsidRDefault="0089739D" w14:paraId="4F7CE9B5" w14:textId="32DD1A8E">
          <w:pPr>
            <w:pStyle w:val="TOC3"/>
            <w:tabs>
              <w:tab w:val="right" w:leader="dot" w:pos="9015"/>
            </w:tabs>
            <w:rPr>
              <w:rStyle w:val="Hyperlink"/>
              <w:noProof/>
              <w:lang w:eastAsia="en-GB"/>
            </w:rPr>
          </w:pPr>
          <w:hyperlink w:anchor="_Toc326870986">
            <w:r w:rsidRPr="6EF7DA90" w:rsidR="6EF7DA90">
              <w:rPr>
                <w:rStyle w:val="Hyperlink"/>
              </w:rPr>
              <w:t>Paris alignment</w:t>
            </w:r>
            <w:r>
              <w:tab/>
            </w:r>
            <w:r>
              <w:fldChar w:fldCharType="begin"/>
            </w:r>
            <w:r>
              <w:instrText xml:space="preserve">PAGEREF _Toc326870986 \h</w:instrText>
            </w:r>
            <w:r>
              <w:fldChar w:fldCharType="separate"/>
            </w:r>
            <w:r w:rsidRPr="6EF7DA90" w:rsidR="6EF7DA90">
              <w:rPr>
                <w:rStyle w:val="Hyperlink"/>
              </w:rPr>
              <w:t>27</w:t>
            </w:r>
            <w:r>
              <w:fldChar w:fldCharType="end"/>
            </w:r>
          </w:hyperlink>
        </w:p>
        <w:p w:rsidRPr="007E54DC" w:rsidR="00CE2FDF" w:rsidP="6EF7DA90" w:rsidRDefault="0089739D" w14:paraId="061EA172" w14:textId="5BA4F1C3">
          <w:pPr>
            <w:pStyle w:val="TOC3"/>
            <w:tabs>
              <w:tab w:val="right" w:leader="dot" w:pos="9015"/>
            </w:tabs>
            <w:rPr>
              <w:rStyle w:val="Hyperlink"/>
              <w:noProof/>
              <w:lang w:eastAsia="en-GB"/>
            </w:rPr>
          </w:pPr>
          <w:hyperlink w:anchor="_Toc494083452">
            <w:r w:rsidRPr="6EF7DA90" w:rsidR="6EF7DA90">
              <w:rPr>
                <w:rStyle w:val="Hyperlink"/>
              </w:rPr>
              <w:t>Communication</w:t>
            </w:r>
            <w:r>
              <w:tab/>
            </w:r>
            <w:r>
              <w:fldChar w:fldCharType="begin"/>
            </w:r>
            <w:r>
              <w:instrText xml:space="preserve">PAGEREF _Toc494083452 \h</w:instrText>
            </w:r>
            <w:r>
              <w:fldChar w:fldCharType="separate"/>
            </w:r>
            <w:r w:rsidRPr="6EF7DA90" w:rsidR="6EF7DA90">
              <w:rPr>
                <w:rStyle w:val="Hyperlink"/>
              </w:rPr>
              <w:t>27</w:t>
            </w:r>
            <w:r>
              <w:fldChar w:fldCharType="end"/>
            </w:r>
          </w:hyperlink>
        </w:p>
        <w:p w:rsidRPr="007E54DC" w:rsidR="00CE2FDF" w:rsidP="6EF7DA90" w:rsidRDefault="0089739D" w14:paraId="602439F9" w14:textId="3C982D6C">
          <w:pPr>
            <w:pStyle w:val="TOC3"/>
            <w:tabs>
              <w:tab w:val="right" w:leader="dot" w:pos="9015"/>
            </w:tabs>
            <w:rPr>
              <w:rStyle w:val="Hyperlink"/>
              <w:noProof/>
              <w:lang w:eastAsia="en-GB"/>
            </w:rPr>
          </w:pPr>
          <w:hyperlink w:anchor="_Toc259234037">
            <w:r w:rsidRPr="6EF7DA90" w:rsidR="6EF7DA90">
              <w:rPr>
                <w:rStyle w:val="Hyperlink"/>
              </w:rPr>
              <w:t>Resourcing</w:t>
            </w:r>
            <w:r>
              <w:tab/>
            </w:r>
            <w:r>
              <w:fldChar w:fldCharType="begin"/>
            </w:r>
            <w:r>
              <w:instrText xml:space="preserve">PAGEREF _Toc259234037 \h</w:instrText>
            </w:r>
            <w:r>
              <w:fldChar w:fldCharType="separate"/>
            </w:r>
            <w:r w:rsidRPr="6EF7DA90" w:rsidR="6EF7DA90">
              <w:rPr>
                <w:rStyle w:val="Hyperlink"/>
              </w:rPr>
              <w:t>28</w:t>
            </w:r>
            <w:r>
              <w:fldChar w:fldCharType="end"/>
            </w:r>
          </w:hyperlink>
        </w:p>
        <w:p w:rsidRPr="007E54DC" w:rsidR="00CE2FDF" w:rsidP="6EF7DA90" w:rsidRDefault="0089739D" w14:paraId="68D10210" w14:textId="1EE8C776">
          <w:pPr>
            <w:pStyle w:val="TOC3"/>
            <w:tabs>
              <w:tab w:val="right" w:leader="dot" w:pos="9015"/>
            </w:tabs>
            <w:rPr>
              <w:rStyle w:val="Hyperlink"/>
              <w:lang w:eastAsia="en-GB"/>
            </w:rPr>
          </w:pPr>
          <w:hyperlink w:anchor="_Toc571965193">
            <w:r w:rsidRPr="6EF7DA90" w:rsidR="6EF7DA90">
              <w:rPr>
                <w:rStyle w:val="Hyperlink"/>
              </w:rPr>
              <w:t>Roles and responsibilities</w:t>
            </w:r>
            <w:r>
              <w:tab/>
            </w:r>
            <w:r>
              <w:fldChar w:fldCharType="begin"/>
            </w:r>
            <w:r>
              <w:instrText xml:space="preserve">PAGEREF _Toc571965193 \h</w:instrText>
            </w:r>
            <w:r>
              <w:fldChar w:fldCharType="separate"/>
            </w:r>
            <w:r w:rsidRPr="6EF7DA90" w:rsidR="6EF7DA90">
              <w:rPr>
                <w:rStyle w:val="Hyperlink"/>
              </w:rPr>
              <w:t>28</w:t>
            </w:r>
            <w:r>
              <w:fldChar w:fldCharType="end"/>
            </w:r>
          </w:hyperlink>
        </w:p>
        <w:p w:rsidRPr="007E54DC" w:rsidR="00CE2FDF" w:rsidP="6EF7DA90" w:rsidRDefault="0089739D" w14:paraId="3548FC46" w14:textId="01F591C3">
          <w:pPr>
            <w:pStyle w:val="TOC1"/>
            <w:tabs>
              <w:tab w:val="right" w:leader="dot" w:pos="9015"/>
            </w:tabs>
            <w:rPr>
              <w:rStyle w:val="Hyperlink"/>
              <w:noProof/>
              <w:lang w:eastAsia="en-GB"/>
            </w:rPr>
          </w:pPr>
          <w:hyperlink w:anchor="_Toc1074128006">
            <w:r w:rsidRPr="6EF7DA90" w:rsidR="6EF7DA90">
              <w:rPr>
                <w:rStyle w:val="Hyperlink"/>
              </w:rPr>
              <w:t>Section 4: Key additions and changes to the original business case</w:t>
            </w:r>
            <w:r>
              <w:tab/>
            </w:r>
            <w:r>
              <w:fldChar w:fldCharType="begin"/>
            </w:r>
            <w:r>
              <w:instrText xml:space="preserve">PAGEREF _Toc1074128006 \h</w:instrText>
            </w:r>
            <w:r>
              <w:fldChar w:fldCharType="separate"/>
            </w:r>
            <w:r w:rsidRPr="6EF7DA90" w:rsidR="6EF7DA90">
              <w:rPr>
                <w:rStyle w:val="Hyperlink"/>
              </w:rPr>
              <w:t>29</w:t>
            </w:r>
            <w:r>
              <w:fldChar w:fldCharType="end"/>
            </w:r>
          </w:hyperlink>
        </w:p>
        <w:p w:rsidRPr="007E54DC" w:rsidR="00CE2FDF" w:rsidP="6EF7DA90" w:rsidRDefault="0089739D" w14:paraId="4C02E8D0" w14:textId="0F4B9A2A">
          <w:pPr>
            <w:pStyle w:val="TOC2"/>
            <w:tabs>
              <w:tab w:val="right" w:leader="dot" w:pos="9015"/>
            </w:tabs>
            <w:rPr>
              <w:rStyle w:val="Hyperlink"/>
              <w:lang w:eastAsia="en-GB"/>
            </w:rPr>
          </w:pPr>
          <w:hyperlink w:anchor="_Toc861514990">
            <w:r w:rsidRPr="6EF7DA90" w:rsidR="6EF7DA90">
              <w:rPr>
                <w:rStyle w:val="Hyperlink"/>
              </w:rPr>
              <w:t>Section 4.1: Strategic Case</w:t>
            </w:r>
            <w:r>
              <w:tab/>
            </w:r>
            <w:r>
              <w:fldChar w:fldCharType="begin"/>
            </w:r>
            <w:r>
              <w:instrText xml:space="preserve">PAGEREF _Toc861514990 \h</w:instrText>
            </w:r>
            <w:r>
              <w:fldChar w:fldCharType="separate"/>
            </w:r>
            <w:r w:rsidRPr="6EF7DA90" w:rsidR="6EF7DA90">
              <w:rPr>
                <w:rStyle w:val="Hyperlink"/>
              </w:rPr>
              <w:t>29</w:t>
            </w:r>
            <w:r>
              <w:fldChar w:fldCharType="end"/>
            </w:r>
          </w:hyperlink>
        </w:p>
        <w:p w:rsidRPr="007E54DC" w:rsidR="00CE2FDF" w:rsidP="6EF7DA90" w:rsidRDefault="0089739D" w14:paraId="26AA562C" w14:textId="425B77C3">
          <w:pPr>
            <w:pStyle w:val="TOC3"/>
            <w:tabs>
              <w:tab w:val="right" w:leader="dot" w:pos="9015"/>
            </w:tabs>
            <w:rPr>
              <w:rStyle w:val="Hyperlink"/>
              <w:lang w:eastAsia="en-GB"/>
            </w:rPr>
          </w:pPr>
          <w:hyperlink w:anchor="_Toc194505249">
            <w:r w:rsidRPr="6EF7DA90" w:rsidR="6EF7DA90">
              <w:rPr>
                <w:rStyle w:val="Hyperlink"/>
              </w:rPr>
              <w:t>Development of the GFCR Strategy</w:t>
            </w:r>
            <w:r>
              <w:tab/>
            </w:r>
            <w:r>
              <w:fldChar w:fldCharType="begin"/>
            </w:r>
            <w:r>
              <w:instrText xml:space="preserve">PAGEREF _Toc194505249 \h</w:instrText>
            </w:r>
            <w:r>
              <w:fldChar w:fldCharType="separate"/>
            </w:r>
            <w:r w:rsidRPr="6EF7DA90" w:rsidR="6EF7DA90">
              <w:rPr>
                <w:rStyle w:val="Hyperlink"/>
              </w:rPr>
              <w:t>30</w:t>
            </w:r>
            <w:r>
              <w:fldChar w:fldCharType="end"/>
            </w:r>
          </w:hyperlink>
        </w:p>
        <w:p w:rsidRPr="007E54DC" w:rsidR="00CE2FDF" w:rsidP="6EF7DA90" w:rsidRDefault="0089739D" w14:paraId="6FB88AF5" w14:textId="0E8E069B">
          <w:pPr>
            <w:pStyle w:val="TOC2"/>
            <w:tabs>
              <w:tab w:val="right" w:leader="dot" w:pos="9015"/>
            </w:tabs>
            <w:rPr>
              <w:rStyle w:val="Hyperlink"/>
              <w:noProof/>
              <w:lang w:eastAsia="en-GB"/>
            </w:rPr>
          </w:pPr>
          <w:hyperlink w:anchor="_Toc88831099">
            <w:r w:rsidRPr="6EF7DA90" w:rsidR="6EF7DA90">
              <w:rPr>
                <w:rStyle w:val="Hyperlink"/>
              </w:rPr>
              <w:t>Section 4.2: Economic Case</w:t>
            </w:r>
            <w:r>
              <w:tab/>
            </w:r>
            <w:r>
              <w:fldChar w:fldCharType="begin"/>
            </w:r>
            <w:r>
              <w:instrText xml:space="preserve">PAGEREF _Toc88831099 \h</w:instrText>
            </w:r>
            <w:r>
              <w:fldChar w:fldCharType="separate"/>
            </w:r>
            <w:r w:rsidRPr="6EF7DA90" w:rsidR="6EF7DA90">
              <w:rPr>
                <w:rStyle w:val="Hyperlink"/>
              </w:rPr>
              <w:t>30</w:t>
            </w:r>
            <w:r>
              <w:fldChar w:fldCharType="end"/>
            </w:r>
          </w:hyperlink>
        </w:p>
        <w:p w:rsidRPr="007E54DC" w:rsidR="00CE2FDF" w:rsidP="6EF7DA90" w:rsidRDefault="0089739D" w14:paraId="15B7C2F5" w14:textId="6C62F0BE">
          <w:pPr>
            <w:pStyle w:val="TOC2"/>
            <w:tabs>
              <w:tab w:val="right" w:leader="dot" w:pos="9015"/>
            </w:tabs>
            <w:rPr>
              <w:rStyle w:val="Hyperlink"/>
              <w:noProof/>
              <w:lang w:eastAsia="en-GB"/>
            </w:rPr>
          </w:pPr>
          <w:hyperlink w:anchor="_Toc1385328438">
            <w:r w:rsidRPr="6EF7DA90" w:rsidR="6EF7DA90">
              <w:rPr>
                <w:rStyle w:val="Hyperlink"/>
              </w:rPr>
              <w:t>Section 4.3: Financial Case</w:t>
            </w:r>
            <w:r>
              <w:tab/>
            </w:r>
            <w:r>
              <w:fldChar w:fldCharType="begin"/>
            </w:r>
            <w:r>
              <w:instrText xml:space="preserve">PAGEREF _Toc1385328438 \h</w:instrText>
            </w:r>
            <w:r>
              <w:fldChar w:fldCharType="separate"/>
            </w:r>
            <w:r w:rsidRPr="6EF7DA90" w:rsidR="6EF7DA90">
              <w:rPr>
                <w:rStyle w:val="Hyperlink"/>
              </w:rPr>
              <w:t>31</w:t>
            </w:r>
            <w:r>
              <w:fldChar w:fldCharType="end"/>
            </w:r>
          </w:hyperlink>
        </w:p>
        <w:p w:rsidRPr="007E54DC" w:rsidR="00CE2FDF" w:rsidP="6EF7DA90" w:rsidRDefault="0089739D" w14:paraId="45BEDE7C" w14:textId="2FEACBBA">
          <w:pPr>
            <w:pStyle w:val="TOC3"/>
            <w:tabs>
              <w:tab w:val="right" w:leader="dot" w:pos="9015"/>
            </w:tabs>
            <w:rPr>
              <w:rStyle w:val="Hyperlink"/>
              <w:lang w:eastAsia="en-GB"/>
            </w:rPr>
          </w:pPr>
          <w:hyperlink w:anchor="_Toc1356680743">
            <w:r w:rsidRPr="6EF7DA90" w:rsidR="6EF7DA90">
              <w:rPr>
                <w:rStyle w:val="Hyperlink"/>
              </w:rPr>
              <w:t>Accounting Officer Assessment</w:t>
            </w:r>
            <w:r>
              <w:tab/>
            </w:r>
            <w:r>
              <w:fldChar w:fldCharType="begin"/>
            </w:r>
            <w:r>
              <w:instrText xml:space="preserve">PAGEREF _Toc1356680743 \h</w:instrText>
            </w:r>
            <w:r>
              <w:fldChar w:fldCharType="separate"/>
            </w:r>
            <w:r w:rsidRPr="6EF7DA90" w:rsidR="6EF7DA90">
              <w:rPr>
                <w:rStyle w:val="Hyperlink"/>
              </w:rPr>
              <w:t>32</w:t>
            </w:r>
            <w:r>
              <w:fldChar w:fldCharType="end"/>
            </w:r>
          </w:hyperlink>
        </w:p>
        <w:p w:rsidRPr="007E54DC" w:rsidR="00CE2FDF" w:rsidP="6EF7DA90" w:rsidRDefault="0089739D" w14:paraId="466A1EB4" w14:textId="1F77957F">
          <w:pPr>
            <w:pStyle w:val="TOC3"/>
            <w:tabs>
              <w:tab w:val="right" w:leader="dot" w:pos="9015"/>
            </w:tabs>
            <w:rPr>
              <w:rStyle w:val="Hyperlink"/>
              <w:lang w:eastAsia="en-GB"/>
            </w:rPr>
          </w:pPr>
          <w:hyperlink w:anchor="_Toc331223346">
            <w:r w:rsidRPr="6EF7DA90" w:rsidR="6EF7DA90">
              <w:rPr>
                <w:rStyle w:val="Hyperlink"/>
              </w:rPr>
              <w:t>Grant Commitments</w:t>
            </w:r>
            <w:r>
              <w:tab/>
            </w:r>
            <w:r>
              <w:fldChar w:fldCharType="begin"/>
            </w:r>
            <w:r>
              <w:instrText xml:space="preserve">PAGEREF _Toc331223346 \h</w:instrText>
            </w:r>
            <w:r>
              <w:fldChar w:fldCharType="separate"/>
            </w:r>
            <w:r w:rsidRPr="6EF7DA90" w:rsidR="6EF7DA90">
              <w:rPr>
                <w:rStyle w:val="Hyperlink"/>
              </w:rPr>
              <w:t>33</w:t>
            </w:r>
            <w:r>
              <w:fldChar w:fldCharType="end"/>
            </w:r>
          </w:hyperlink>
        </w:p>
        <w:p w:rsidRPr="007E54DC" w:rsidR="00CE2FDF" w:rsidP="6EF7DA90" w:rsidRDefault="0089739D" w14:paraId="7028A931" w14:textId="0E971687">
          <w:pPr>
            <w:pStyle w:val="TOC2"/>
            <w:tabs>
              <w:tab w:val="right" w:leader="dot" w:pos="9015"/>
            </w:tabs>
            <w:rPr>
              <w:rStyle w:val="Hyperlink"/>
              <w:noProof/>
              <w:lang w:eastAsia="en-GB"/>
            </w:rPr>
          </w:pPr>
          <w:hyperlink w:anchor="_Toc639969497">
            <w:r w:rsidRPr="6EF7DA90" w:rsidR="6EF7DA90">
              <w:rPr>
                <w:rStyle w:val="Hyperlink"/>
              </w:rPr>
              <w:t>Section 4.4: Commercial Case</w:t>
            </w:r>
            <w:r>
              <w:tab/>
            </w:r>
            <w:r>
              <w:fldChar w:fldCharType="begin"/>
            </w:r>
            <w:r>
              <w:instrText xml:space="preserve">PAGEREF _Toc639969497 \h</w:instrText>
            </w:r>
            <w:r>
              <w:fldChar w:fldCharType="separate"/>
            </w:r>
            <w:r w:rsidRPr="6EF7DA90" w:rsidR="6EF7DA90">
              <w:rPr>
                <w:rStyle w:val="Hyperlink"/>
              </w:rPr>
              <w:t>34</w:t>
            </w:r>
            <w:r>
              <w:fldChar w:fldCharType="end"/>
            </w:r>
          </w:hyperlink>
        </w:p>
        <w:p w:rsidRPr="007E54DC" w:rsidR="00CE2FDF" w:rsidP="6EF7DA90" w:rsidRDefault="0089739D" w14:paraId="62EFB9C8" w14:textId="5E4D1023">
          <w:pPr>
            <w:pStyle w:val="TOC2"/>
            <w:tabs>
              <w:tab w:val="right" w:leader="dot" w:pos="9015"/>
            </w:tabs>
            <w:rPr>
              <w:rStyle w:val="Hyperlink"/>
              <w:noProof/>
              <w:lang w:eastAsia="en-GB"/>
            </w:rPr>
          </w:pPr>
          <w:hyperlink w:anchor="_Toc2091330735">
            <w:r w:rsidRPr="6EF7DA90" w:rsidR="6EF7DA90">
              <w:rPr>
                <w:rStyle w:val="Hyperlink"/>
              </w:rPr>
              <w:t>Section 4.5: Management Case</w:t>
            </w:r>
            <w:r>
              <w:tab/>
            </w:r>
            <w:r>
              <w:fldChar w:fldCharType="begin"/>
            </w:r>
            <w:r>
              <w:instrText xml:space="preserve">PAGEREF _Toc2091330735 \h</w:instrText>
            </w:r>
            <w:r>
              <w:fldChar w:fldCharType="separate"/>
            </w:r>
            <w:r w:rsidRPr="6EF7DA90" w:rsidR="6EF7DA90">
              <w:rPr>
                <w:rStyle w:val="Hyperlink"/>
              </w:rPr>
              <w:t>36</w:t>
            </w:r>
            <w:r>
              <w:fldChar w:fldCharType="end"/>
            </w:r>
          </w:hyperlink>
        </w:p>
        <w:p w:rsidRPr="007E54DC" w:rsidR="00CE2FDF" w:rsidP="6EF7DA90" w:rsidRDefault="0089739D" w14:paraId="21B70699" w14:textId="3E613351">
          <w:pPr>
            <w:pStyle w:val="TOC3"/>
            <w:tabs>
              <w:tab w:val="right" w:leader="dot" w:pos="9015"/>
            </w:tabs>
            <w:rPr>
              <w:rStyle w:val="Hyperlink"/>
              <w:noProof/>
              <w:lang w:eastAsia="en-GB"/>
            </w:rPr>
          </w:pPr>
          <w:hyperlink w:anchor="_Toc1918717505">
            <w:r w:rsidRPr="6EF7DA90" w:rsidR="6EF7DA90">
              <w:rPr>
                <w:rStyle w:val="Hyperlink"/>
              </w:rPr>
              <w:t>Risk management</w:t>
            </w:r>
            <w:r>
              <w:tab/>
            </w:r>
            <w:r>
              <w:fldChar w:fldCharType="begin"/>
            </w:r>
            <w:r>
              <w:instrText xml:space="preserve">PAGEREF _Toc1918717505 \h</w:instrText>
            </w:r>
            <w:r>
              <w:fldChar w:fldCharType="separate"/>
            </w:r>
            <w:r w:rsidRPr="6EF7DA90" w:rsidR="6EF7DA90">
              <w:rPr>
                <w:rStyle w:val="Hyperlink"/>
              </w:rPr>
              <w:t>36</w:t>
            </w:r>
            <w:r>
              <w:fldChar w:fldCharType="end"/>
            </w:r>
          </w:hyperlink>
        </w:p>
        <w:p w:rsidRPr="007E54DC" w:rsidR="00CE2FDF" w:rsidP="6EF7DA90" w:rsidRDefault="0089739D" w14:paraId="0584E65D" w14:textId="7C918B23">
          <w:pPr>
            <w:pStyle w:val="TOC3"/>
            <w:tabs>
              <w:tab w:val="right" w:leader="dot" w:pos="9015"/>
            </w:tabs>
            <w:rPr>
              <w:rStyle w:val="Hyperlink"/>
              <w:noProof/>
              <w:lang w:eastAsia="en-GB"/>
            </w:rPr>
          </w:pPr>
          <w:hyperlink w:anchor="_Toc532467137">
            <w:r w:rsidRPr="6EF7DA90" w:rsidR="6EF7DA90">
              <w:rPr>
                <w:rStyle w:val="Hyperlink"/>
              </w:rPr>
              <w:t>GFCR M&amp;E Strategy, LogFrame and Performance indicators</w:t>
            </w:r>
            <w:r>
              <w:tab/>
            </w:r>
            <w:r>
              <w:fldChar w:fldCharType="begin"/>
            </w:r>
            <w:r>
              <w:instrText xml:space="preserve">PAGEREF _Toc532467137 \h</w:instrText>
            </w:r>
            <w:r>
              <w:fldChar w:fldCharType="separate"/>
            </w:r>
            <w:r w:rsidRPr="6EF7DA90" w:rsidR="6EF7DA90">
              <w:rPr>
                <w:rStyle w:val="Hyperlink"/>
              </w:rPr>
              <w:t>37</w:t>
            </w:r>
            <w:r>
              <w:fldChar w:fldCharType="end"/>
            </w:r>
          </w:hyperlink>
        </w:p>
        <w:p w:rsidRPr="007E54DC" w:rsidR="00CE2FDF" w:rsidP="6EF7DA90" w:rsidRDefault="0089739D" w14:paraId="56863BE6" w14:textId="14A47507">
          <w:pPr>
            <w:pStyle w:val="TOC3"/>
            <w:tabs>
              <w:tab w:val="right" w:leader="dot" w:pos="9015"/>
            </w:tabs>
            <w:rPr>
              <w:rStyle w:val="Hyperlink"/>
              <w:noProof/>
              <w:lang w:eastAsia="en-GB"/>
            </w:rPr>
          </w:pPr>
          <w:hyperlink w:anchor="_Toc1986125108">
            <w:r w:rsidRPr="6EF7DA90" w:rsidR="6EF7DA90">
              <w:rPr>
                <w:rStyle w:val="Hyperlink"/>
              </w:rPr>
              <w:t>Monitoring Defra’s contribution to the GFCR</w:t>
            </w:r>
            <w:r>
              <w:tab/>
            </w:r>
            <w:r>
              <w:fldChar w:fldCharType="begin"/>
            </w:r>
            <w:r>
              <w:instrText xml:space="preserve">PAGEREF _Toc1986125108 \h</w:instrText>
            </w:r>
            <w:r>
              <w:fldChar w:fldCharType="separate"/>
            </w:r>
            <w:r w:rsidRPr="6EF7DA90" w:rsidR="6EF7DA90">
              <w:rPr>
                <w:rStyle w:val="Hyperlink"/>
              </w:rPr>
              <w:t>39</w:t>
            </w:r>
            <w:r>
              <w:fldChar w:fldCharType="end"/>
            </w:r>
          </w:hyperlink>
        </w:p>
        <w:p w:rsidRPr="007E54DC" w:rsidR="00CE2FDF" w:rsidP="6EF7DA90" w:rsidRDefault="0089739D" w14:paraId="76B4D6A5" w14:textId="51B238BA">
          <w:pPr>
            <w:pStyle w:val="TOC3"/>
            <w:tabs>
              <w:tab w:val="right" w:leader="dot" w:pos="9015"/>
            </w:tabs>
            <w:rPr>
              <w:rStyle w:val="Hyperlink"/>
              <w:noProof/>
              <w:lang w:eastAsia="en-GB"/>
            </w:rPr>
          </w:pPr>
          <w:hyperlink w:anchor="_Toc1900805038">
            <w:r w:rsidRPr="6EF7DA90" w:rsidR="6EF7DA90">
              <w:rPr>
                <w:rStyle w:val="Hyperlink"/>
              </w:rPr>
              <w:t>Funding Window Systems</w:t>
            </w:r>
            <w:r>
              <w:tab/>
            </w:r>
            <w:r>
              <w:fldChar w:fldCharType="begin"/>
            </w:r>
            <w:r>
              <w:instrText xml:space="preserve">PAGEREF _Toc1900805038 \h</w:instrText>
            </w:r>
            <w:r>
              <w:fldChar w:fldCharType="separate"/>
            </w:r>
            <w:r w:rsidRPr="6EF7DA90" w:rsidR="6EF7DA90">
              <w:rPr>
                <w:rStyle w:val="Hyperlink"/>
              </w:rPr>
              <w:t>40</w:t>
            </w:r>
            <w:r>
              <w:fldChar w:fldCharType="end"/>
            </w:r>
          </w:hyperlink>
        </w:p>
        <w:p w:rsidRPr="007E54DC" w:rsidR="00CE2FDF" w:rsidP="6EF7DA90" w:rsidRDefault="0089739D" w14:paraId="129B6DF5" w14:textId="20BBC75A">
          <w:pPr>
            <w:pStyle w:val="TOC3"/>
            <w:tabs>
              <w:tab w:val="right" w:leader="dot" w:pos="9015"/>
            </w:tabs>
            <w:rPr>
              <w:rStyle w:val="Hyperlink"/>
              <w:lang w:eastAsia="en-GB"/>
            </w:rPr>
          </w:pPr>
          <w:hyperlink w:anchor="_Toc1465516396">
            <w:r w:rsidRPr="6EF7DA90" w:rsidR="6EF7DA90">
              <w:rPr>
                <w:rStyle w:val="Hyperlink"/>
              </w:rPr>
              <w:t>Critical Pathway</w:t>
            </w:r>
            <w:r>
              <w:tab/>
            </w:r>
            <w:r>
              <w:fldChar w:fldCharType="begin"/>
            </w:r>
            <w:r>
              <w:instrText xml:space="preserve">PAGEREF _Toc1465516396 \h</w:instrText>
            </w:r>
            <w:r>
              <w:fldChar w:fldCharType="separate"/>
            </w:r>
            <w:r w:rsidRPr="6EF7DA90" w:rsidR="6EF7DA90">
              <w:rPr>
                <w:rStyle w:val="Hyperlink"/>
              </w:rPr>
              <w:t>41</w:t>
            </w:r>
            <w:r>
              <w:fldChar w:fldCharType="end"/>
            </w:r>
          </w:hyperlink>
        </w:p>
        <w:p w:rsidRPr="007E54DC" w:rsidR="00CE2FDF" w:rsidP="6EF7DA90" w:rsidRDefault="0089739D" w14:paraId="6FD606C6" w14:textId="74CF12FE">
          <w:pPr>
            <w:pStyle w:val="TOC1"/>
            <w:tabs>
              <w:tab w:val="right" w:leader="dot" w:pos="9015"/>
            </w:tabs>
            <w:rPr>
              <w:rStyle w:val="Hyperlink"/>
              <w:lang w:eastAsia="en-GB"/>
            </w:rPr>
          </w:pPr>
          <w:hyperlink w:anchor="_Toc1583922192">
            <w:r w:rsidRPr="6EF7DA90" w:rsidR="6EF7DA90">
              <w:rPr>
                <w:rStyle w:val="Hyperlink"/>
              </w:rPr>
              <w:t>Annexes</w:t>
            </w:r>
            <w:r>
              <w:tab/>
            </w:r>
            <w:r>
              <w:fldChar w:fldCharType="begin"/>
            </w:r>
            <w:r>
              <w:instrText xml:space="preserve">PAGEREF _Toc1583922192 \h</w:instrText>
            </w:r>
            <w:r>
              <w:fldChar w:fldCharType="separate"/>
            </w:r>
            <w:r w:rsidRPr="6EF7DA90" w:rsidR="6EF7DA90">
              <w:rPr>
                <w:rStyle w:val="Hyperlink"/>
              </w:rPr>
              <w:t>43</w:t>
            </w:r>
            <w:r>
              <w:fldChar w:fldCharType="end"/>
            </w:r>
          </w:hyperlink>
        </w:p>
        <w:p w:rsidRPr="007E54DC" w:rsidR="00CE2FDF" w:rsidP="6EF7DA90" w:rsidRDefault="0089739D" w14:paraId="00CED1AB" w14:textId="0872B830">
          <w:pPr>
            <w:pStyle w:val="TOC2"/>
            <w:tabs>
              <w:tab w:val="right" w:leader="dot" w:pos="9015"/>
            </w:tabs>
            <w:rPr>
              <w:rStyle w:val="Hyperlink"/>
              <w:lang w:eastAsia="en-GB"/>
            </w:rPr>
          </w:pPr>
          <w:hyperlink w:anchor="_Toc1749069896">
            <w:r w:rsidRPr="6EF7DA90" w:rsidR="6EF7DA90">
              <w:rPr>
                <w:rStyle w:val="Hyperlink"/>
              </w:rPr>
              <w:t>Annex A– GFCR Theory of Change model</w:t>
            </w:r>
            <w:r>
              <w:tab/>
            </w:r>
            <w:r>
              <w:fldChar w:fldCharType="begin"/>
            </w:r>
            <w:r>
              <w:instrText xml:space="preserve">PAGEREF _Toc1749069896 \h</w:instrText>
            </w:r>
            <w:r>
              <w:fldChar w:fldCharType="separate"/>
            </w:r>
            <w:r w:rsidRPr="6EF7DA90" w:rsidR="6EF7DA90">
              <w:rPr>
                <w:rStyle w:val="Hyperlink"/>
              </w:rPr>
              <w:t>43</w:t>
            </w:r>
            <w:r>
              <w:fldChar w:fldCharType="end"/>
            </w:r>
          </w:hyperlink>
        </w:p>
        <w:p w:rsidRPr="007E54DC" w:rsidR="00CE2FDF" w:rsidP="6EF7DA90" w:rsidRDefault="0089739D" w14:paraId="194E4ACA" w14:textId="7E776E31">
          <w:pPr>
            <w:pStyle w:val="TOC2"/>
            <w:tabs>
              <w:tab w:val="right" w:leader="dot" w:pos="9015"/>
            </w:tabs>
            <w:rPr>
              <w:rStyle w:val="Hyperlink"/>
              <w:lang w:eastAsia="en-GB"/>
            </w:rPr>
          </w:pPr>
          <w:hyperlink w:anchor="_Toc1953516438">
            <w:r w:rsidRPr="6EF7DA90" w:rsidR="6EF7DA90">
              <w:rPr>
                <w:rStyle w:val="Hyperlink"/>
              </w:rPr>
              <w:t>Annex B – Comparison between GFCR and similar funds</w:t>
            </w:r>
            <w:r>
              <w:tab/>
            </w:r>
            <w:r>
              <w:fldChar w:fldCharType="begin"/>
            </w:r>
            <w:r>
              <w:instrText xml:space="preserve">PAGEREF _Toc1953516438 \h</w:instrText>
            </w:r>
            <w:r>
              <w:fldChar w:fldCharType="separate"/>
            </w:r>
            <w:r w:rsidRPr="6EF7DA90" w:rsidR="6EF7DA90">
              <w:rPr>
                <w:rStyle w:val="Hyperlink"/>
              </w:rPr>
              <w:t>44</w:t>
            </w:r>
            <w:r>
              <w:fldChar w:fldCharType="end"/>
            </w:r>
          </w:hyperlink>
        </w:p>
        <w:p w:rsidRPr="007E54DC" w:rsidR="00CE2FDF" w:rsidP="6EF7DA90" w:rsidRDefault="0089739D" w14:paraId="6B97EDAA" w14:textId="0F4BB9BB">
          <w:pPr>
            <w:pStyle w:val="TOC2"/>
            <w:tabs>
              <w:tab w:val="right" w:leader="dot" w:pos="9015"/>
            </w:tabs>
            <w:rPr>
              <w:rStyle w:val="Hyperlink"/>
              <w:lang w:eastAsia="en-GB"/>
            </w:rPr>
          </w:pPr>
          <w:hyperlink w:anchor="_Toc801650972">
            <w:r w:rsidRPr="6EF7DA90" w:rsidR="6EF7DA90">
              <w:rPr>
                <w:rStyle w:val="Hyperlink"/>
              </w:rPr>
              <w:t>*BPF fund contributes to/invests in these programmes</w:t>
            </w:r>
            <w:r>
              <w:tab/>
            </w:r>
            <w:r>
              <w:fldChar w:fldCharType="begin"/>
            </w:r>
            <w:r>
              <w:instrText xml:space="preserve">PAGEREF _Toc801650972 \h</w:instrText>
            </w:r>
            <w:r>
              <w:fldChar w:fldCharType="separate"/>
            </w:r>
            <w:r w:rsidRPr="6EF7DA90" w:rsidR="6EF7DA90">
              <w:rPr>
                <w:rStyle w:val="Hyperlink"/>
              </w:rPr>
              <w:t>45</w:t>
            </w:r>
            <w:r>
              <w:fldChar w:fldCharType="end"/>
            </w:r>
          </w:hyperlink>
        </w:p>
        <w:p w:rsidRPr="007E54DC" w:rsidR="00CE2FDF" w:rsidP="6EF7DA90" w:rsidRDefault="0089739D" w14:paraId="3E8586A3" w14:textId="1E31A7D6">
          <w:pPr>
            <w:pStyle w:val="TOC2"/>
            <w:tabs>
              <w:tab w:val="right" w:leader="dot" w:pos="9015"/>
            </w:tabs>
            <w:rPr>
              <w:rStyle w:val="Hyperlink"/>
              <w:lang w:eastAsia="en-GB"/>
            </w:rPr>
          </w:pPr>
          <w:hyperlink w:anchor="_Toc932926940">
            <w:r w:rsidRPr="6EF7DA90" w:rsidR="6EF7DA90">
              <w:rPr>
                <w:rStyle w:val="Hyperlink"/>
              </w:rPr>
              <w:t>Annex C– BPF Programming under the MPA and OECM outcome</w:t>
            </w:r>
            <w:r>
              <w:tab/>
            </w:r>
            <w:r>
              <w:fldChar w:fldCharType="begin"/>
            </w:r>
            <w:r>
              <w:instrText xml:space="preserve">PAGEREF _Toc932926940 \h</w:instrText>
            </w:r>
            <w:r>
              <w:fldChar w:fldCharType="separate"/>
            </w:r>
            <w:r w:rsidRPr="6EF7DA90" w:rsidR="6EF7DA90">
              <w:rPr>
                <w:rStyle w:val="Hyperlink"/>
              </w:rPr>
              <w:t>46</w:t>
            </w:r>
            <w:r>
              <w:fldChar w:fldCharType="end"/>
            </w:r>
          </w:hyperlink>
        </w:p>
        <w:p w:rsidRPr="007E54DC" w:rsidR="00CE2FDF" w:rsidP="6EF7DA90" w:rsidRDefault="0089739D" w14:paraId="238ADE6D" w14:textId="2086826F">
          <w:pPr>
            <w:pStyle w:val="TOC2"/>
            <w:tabs>
              <w:tab w:val="right" w:leader="dot" w:pos="9015"/>
            </w:tabs>
            <w:rPr>
              <w:rStyle w:val="Hyperlink"/>
              <w:lang w:eastAsia="en-GB"/>
            </w:rPr>
          </w:pPr>
          <w:hyperlink w:anchor="_Toc1189878452">
            <w:r w:rsidRPr="6EF7DA90" w:rsidR="6EF7DA90">
              <w:rPr>
                <w:rStyle w:val="Hyperlink"/>
              </w:rPr>
              <w:t>Annex D – GFCR Year 1 Annual Review</w:t>
            </w:r>
            <w:r>
              <w:tab/>
            </w:r>
            <w:r>
              <w:fldChar w:fldCharType="begin"/>
            </w:r>
            <w:r>
              <w:instrText xml:space="preserve">PAGEREF _Toc1189878452 \h</w:instrText>
            </w:r>
            <w:r>
              <w:fldChar w:fldCharType="separate"/>
            </w:r>
            <w:r w:rsidRPr="6EF7DA90" w:rsidR="6EF7DA90">
              <w:rPr>
                <w:rStyle w:val="Hyperlink"/>
              </w:rPr>
              <w:t>47</w:t>
            </w:r>
            <w:r>
              <w:fldChar w:fldCharType="end"/>
            </w:r>
          </w:hyperlink>
        </w:p>
        <w:p w:rsidRPr="007E54DC" w:rsidR="00CE2FDF" w:rsidP="6EF7DA90" w:rsidRDefault="0089739D" w14:paraId="2183D2D1" w14:textId="1890D9AE">
          <w:pPr>
            <w:pStyle w:val="TOC2"/>
            <w:tabs>
              <w:tab w:val="right" w:leader="dot" w:pos="9015"/>
            </w:tabs>
            <w:rPr>
              <w:rStyle w:val="Hyperlink"/>
              <w:lang w:eastAsia="en-GB"/>
            </w:rPr>
          </w:pPr>
          <w:hyperlink w:anchor="_Toc1935995492">
            <w:r w:rsidRPr="6EF7DA90" w:rsidR="6EF7DA90">
              <w:rPr>
                <w:rStyle w:val="Hyperlink"/>
              </w:rPr>
              <w:t>Annex E – Economic case:</w:t>
            </w:r>
            <w:r>
              <w:tab/>
            </w:r>
            <w:r>
              <w:fldChar w:fldCharType="begin"/>
            </w:r>
            <w:r>
              <w:instrText xml:space="preserve">PAGEREF _Toc1935995492 \h</w:instrText>
            </w:r>
            <w:r>
              <w:fldChar w:fldCharType="separate"/>
            </w:r>
            <w:r w:rsidRPr="6EF7DA90" w:rsidR="6EF7DA90">
              <w:rPr>
                <w:rStyle w:val="Hyperlink"/>
              </w:rPr>
              <w:t>47</w:t>
            </w:r>
            <w:r>
              <w:fldChar w:fldCharType="end"/>
            </w:r>
          </w:hyperlink>
        </w:p>
        <w:p w:rsidRPr="007E54DC" w:rsidR="00CE2FDF" w:rsidP="6EF7DA90" w:rsidRDefault="0089739D" w14:paraId="593B5FE2" w14:textId="50975F49">
          <w:pPr>
            <w:pStyle w:val="TOC2"/>
            <w:tabs>
              <w:tab w:val="right" w:leader="dot" w:pos="9015"/>
            </w:tabs>
            <w:rPr>
              <w:rStyle w:val="Hyperlink"/>
              <w:lang w:eastAsia="en-GB"/>
            </w:rPr>
          </w:pPr>
          <w:hyperlink w:anchor="_Toc2062386307">
            <w:r w:rsidRPr="6EF7DA90" w:rsidR="6EF7DA90">
              <w:rPr>
                <w:rStyle w:val="Hyperlink"/>
              </w:rPr>
              <w:t>Annex F - An Overview of BCRs across the Blue Planet Fund.</w:t>
            </w:r>
            <w:r>
              <w:tab/>
            </w:r>
            <w:r>
              <w:fldChar w:fldCharType="begin"/>
            </w:r>
            <w:r>
              <w:instrText xml:space="preserve">PAGEREF _Toc2062386307 \h</w:instrText>
            </w:r>
            <w:r>
              <w:fldChar w:fldCharType="separate"/>
            </w:r>
            <w:r w:rsidRPr="6EF7DA90" w:rsidR="6EF7DA90">
              <w:rPr>
                <w:rStyle w:val="Hyperlink"/>
              </w:rPr>
              <w:t>47</w:t>
            </w:r>
            <w:r>
              <w:fldChar w:fldCharType="end"/>
            </w:r>
          </w:hyperlink>
        </w:p>
        <w:p w:rsidRPr="007E54DC" w:rsidR="00CE2FDF" w:rsidP="6EF7DA90" w:rsidRDefault="0089739D" w14:paraId="55DA57A3" w14:textId="5CC438FC">
          <w:pPr>
            <w:pStyle w:val="TOC2"/>
            <w:tabs>
              <w:tab w:val="right" w:leader="dot" w:pos="9015"/>
            </w:tabs>
            <w:rPr>
              <w:rStyle w:val="Hyperlink"/>
              <w:lang w:eastAsia="en-GB"/>
            </w:rPr>
          </w:pPr>
          <w:hyperlink w:anchor="_Toc1036323474">
            <w:r w:rsidRPr="6EF7DA90" w:rsidR="6EF7DA90">
              <w:rPr>
                <w:rStyle w:val="Hyperlink"/>
              </w:rPr>
              <w:t>Annex G– Risks</w:t>
            </w:r>
            <w:r>
              <w:tab/>
            </w:r>
            <w:r>
              <w:fldChar w:fldCharType="begin"/>
            </w:r>
            <w:r>
              <w:instrText xml:space="preserve">PAGEREF _Toc1036323474 \h</w:instrText>
            </w:r>
            <w:r>
              <w:fldChar w:fldCharType="separate"/>
            </w:r>
            <w:r w:rsidRPr="6EF7DA90" w:rsidR="6EF7DA90">
              <w:rPr>
                <w:rStyle w:val="Hyperlink"/>
              </w:rPr>
              <w:t>49</w:t>
            </w:r>
            <w:r>
              <w:fldChar w:fldCharType="end"/>
            </w:r>
          </w:hyperlink>
        </w:p>
        <w:p w:rsidRPr="007E54DC" w:rsidR="00CE2FDF" w:rsidP="6EF7DA90" w:rsidRDefault="0089739D" w14:paraId="3460EFB1" w14:textId="7EAC8673">
          <w:pPr>
            <w:pStyle w:val="TOC2"/>
            <w:tabs>
              <w:tab w:val="right" w:leader="dot" w:pos="9015"/>
            </w:tabs>
            <w:rPr>
              <w:rStyle w:val="Hyperlink"/>
              <w:lang w:eastAsia="en-GB"/>
            </w:rPr>
          </w:pPr>
          <w:hyperlink w:anchor="_Toc221635079">
            <w:r w:rsidRPr="6EF7DA90" w:rsidR="6EF7DA90">
              <w:rPr>
                <w:rStyle w:val="Hyperlink"/>
              </w:rPr>
              <w:t>Annex H – GFCR Governance Structures and Actors</w:t>
            </w:r>
            <w:r>
              <w:tab/>
            </w:r>
            <w:r>
              <w:fldChar w:fldCharType="begin"/>
            </w:r>
            <w:r>
              <w:instrText xml:space="preserve">PAGEREF _Toc221635079 \h</w:instrText>
            </w:r>
            <w:r>
              <w:fldChar w:fldCharType="separate"/>
            </w:r>
            <w:r w:rsidRPr="6EF7DA90" w:rsidR="6EF7DA90">
              <w:rPr>
                <w:rStyle w:val="Hyperlink"/>
              </w:rPr>
              <w:t>54</w:t>
            </w:r>
            <w:r>
              <w:fldChar w:fldCharType="end"/>
            </w:r>
          </w:hyperlink>
        </w:p>
        <w:p w:rsidR="6EF7DA90" w:rsidP="6EF7DA90" w:rsidRDefault="6EF7DA90" w14:paraId="318CFF2F" w14:textId="5A409BC0">
          <w:pPr>
            <w:pStyle w:val="TOC2"/>
            <w:tabs>
              <w:tab w:val="right" w:leader="dot" w:pos="9015"/>
            </w:tabs>
            <w:rPr>
              <w:rStyle w:val="Hyperlink"/>
            </w:rPr>
          </w:pPr>
          <w:hyperlink w:anchor="_Toc909389942">
            <w:r w:rsidRPr="6EF7DA90" w:rsidR="6EF7DA90">
              <w:rPr>
                <w:rStyle w:val="Hyperlink"/>
              </w:rPr>
              <w:t>Annex I– Resourcing Plan: FTE Resourcing Plan - Annex I.xlsx (sharepoint.com)</w:t>
            </w:r>
            <w:r>
              <w:tab/>
            </w:r>
            <w:r>
              <w:fldChar w:fldCharType="begin"/>
            </w:r>
            <w:r>
              <w:instrText xml:space="preserve">PAGEREF _Toc909389942 \h</w:instrText>
            </w:r>
            <w:r>
              <w:fldChar w:fldCharType="separate"/>
            </w:r>
            <w:r w:rsidRPr="6EF7DA90" w:rsidR="6EF7DA90">
              <w:rPr>
                <w:rStyle w:val="Hyperlink"/>
              </w:rPr>
              <w:t>55</w:t>
            </w:r>
            <w:r>
              <w:fldChar w:fldCharType="end"/>
            </w:r>
          </w:hyperlink>
        </w:p>
        <w:p w:rsidR="6EF7DA90" w:rsidP="6EF7DA90" w:rsidRDefault="6EF7DA90" w14:paraId="4930634E" w14:textId="08C32B1A">
          <w:pPr>
            <w:pStyle w:val="TOC2"/>
            <w:tabs>
              <w:tab w:val="right" w:leader="dot" w:pos="9015"/>
            </w:tabs>
            <w:rPr>
              <w:rStyle w:val="Hyperlink"/>
            </w:rPr>
          </w:pPr>
          <w:hyperlink w:anchor="_Toc346597776">
            <w:r w:rsidRPr="6EF7DA90" w:rsidR="6EF7DA90">
              <w:rPr>
                <w:rStyle w:val="Hyperlink"/>
              </w:rPr>
              <w:t>Annex J– LogFrame (Benefits register)</w:t>
            </w:r>
            <w:r>
              <w:tab/>
            </w:r>
            <w:r>
              <w:fldChar w:fldCharType="begin"/>
            </w:r>
            <w:r>
              <w:instrText xml:space="preserve">PAGEREF _Toc346597776 \h</w:instrText>
            </w:r>
            <w:r>
              <w:fldChar w:fldCharType="separate"/>
            </w:r>
            <w:r w:rsidRPr="6EF7DA90" w:rsidR="6EF7DA90">
              <w:rPr>
                <w:rStyle w:val="Hyperlink"/>
              </w:rPr>
              <w:t>55</w:t>
            </w:r>
            <w:r>
              <w:fldChar w:fldCharType="end"/>
            </w:r>
          </w:hyperlink>
          <w:r>
            <w:fldChar w:fldCharType="end"/>
          </w:r>
        </w:p>
      </w:sdtContent>
    </w:sdt>
    <w:p w:rsidRPr="007E54DC" w:rsidR="5056FC58" w:rsidP="00947D53" w:rsidRDefault="5056FC58" w14:paraId="1AA4E299" w14:textId="05D82D39" w14:noSpellErr="1">
      <w:pPr>
        <w:pStyle w:val="TOC2"/>
        <w:rPr>
          <w:rStyle w:val="Hyperlink"/>
        </w:rPr>
      </w:pPr>
    </w:p>
    <w:p w:rsidRPr="007E54DC" w:rsidR="00480F39" w:rsidP="00511512" w:rsidRDefault="00480F39" w14:paraId="4D4D6DD3" w14:textId="01CFB4B0">
      <w:pPr>
        <w:spacing w:after="0"/>
        <w:jc w:val="left"/>
      </w:pPr>
    </w:p>
    <w:p w:rsidRPr="007E54DC" w:rsidR="00480F39" w:rsidP="00480F39" w:rsidRDefault="00480F39" w14:paraId="68A7C828" w14:textId="100829EF" w14:noSpellErr="1">
      <w:pPr>
        <w:pStyle w:val="Heading1"/>
        <w:rPr/>
      </w:pPr>
      <w:bookmarkStart w:name="_Toc1648752247" w:id="953398638"/>
      <w:r w:rsidR="00480F39">
        <w:rPr/>
        <w:t>Tables and Figures</w:t>
      </w:r>
      <w:bookmarkEnd w:id="953398638"/>
    </w:p>
    <w:p w:rsidR="000473E7" w:rsidRDefault="00480F39" w14:paraId="2E1E8E28" w14:textId="6DDBE23A">
      <w:pPr>
        <w:pStyle w:val="TableofFigures"/>
        <w:tabs>
          <w:tab w:val="right" w:leader="dot" w:pos="9016"/>
        </w:tabs>
        <w:rPr>
          <w:rFonts w:eastAsiaTheme="minorEastAsia"/>
          <w:noProof/>
          <w:lang w:eastAsia="en-GB"/>
        </w:rPr>
      </w:pPr>
      <w:r w:rsidRPr="007E54DC">
        <w:fldChar w:fldCharType="begin"/>
      </w:r>
      <w:r w:rsidRPr="007E54DC">
        <w:instrText xml:space="preserve"> TOC \h \z \c "Table" </w:instrText>
      </w:r>
      <w:r w:rsidRPr="007E54DC">
        <w:fldChar w:fldCharType="separate"/>
      </w:r>
      <w:hyperlink w:history="1" w:anchor="_Toc132104911">
        <w:r w:rsidRPr="00014C2C" w:rsidR="000473E7">
          <w:rPr>
            <w:rStyle w:val="Hyperlink"/>
            <w:noProof/>
          </w:rPr>
          <w:t>Table 1 - GFCR modelled funding</w:t>
        </w:r>
        <w:r w:rsidR="000473E7">
          <w:rPr>
            <w:noProof/>
            <w:webHidden/>
          </w:rPr>
          <w:tab/>
        </w:r>
        <w:r w:rsidR="000473E7">
          <w:rPr>
            <w:noProof/>
            <w:webHidden/>
          </w:rPr>
          <w:fldChar w:fldCharType="begin"/>
        </w:r>
        <w:r w:rsidR="000473E7">
          <w:rPr>
            <w:noProof/>
            <w:webHidden/>
          </w:rPr>
          <w:instrText xml:space="preserve"> PAGEREF _Toc132104911 \h </w:instrText>
        </w:r>
        <w:r w:rsidR="000473E7">
          <w:rPr>
            <w:noProof/>
            <w:webHidden/>
          </w:rPr>
        </w:r>
        <w:r w:rsidR="000473E7">
          <w:rPr>
            <w:noProof/>
            <w:webHidden/>
          </w:rPr>
          <w:fldChar w:fldCharType="separate"/>
        </w:r>
        <w:r w:rsidR="00B9356F">
          <w:rPr>
            <w:noProof/>
            <w:webHidden/>
          </w:rPr>
          <w:t>4</w:t>
        </w:r>
        <w:r w:rsidR="000473E7">
          <w:rPr>
            <w:noProof/>
            <w:webHidden/>
          </w:rPr>
          <w:fldChar w:fldCharType="end"/>
        </w:r>
      </w:hyperlink>
    </w:p>
    <w:p w:rsidR="000473E7" w:rsidRDefault="000473E7" w14:paraId="65406587" w14:textId="5FD9CCE2">
      <w:pPr>
        <w:pStyle w:val="TableofFigures"/>
        <w:tabs>
          <w:tab w:val="right" w:leader="dot" w:pos="9016"/>
        </w:tabs>
        <w:rPr>
          <w:rFonts w:eastAsiaTheme="minorEastAsia"/>
          <w:noProof/>
          <w:lang w:eastAsia="en-GB"/>
        </w:rPr>
      </w:pPr>
      <w:hyperlink w:history="1" w:anchor="_Toc132104912">
        <w:r w:rsidRPr="00014C2C">
          <w:rPr>
            <w:rStyle w:val="Hyperlink"/>
            <w:noProof/>
          </w:rPr>
          <w:t>Table 2 - GFCR Projects in implementation and key interventions</w:t>
        </w:r>
        <w:r>
          <w:rPr>
            <w:noProof/>
            <w:webHidden/>
          </w:rPr>
          <w:tab/>
        </w:r>
        <w:r>
          <w:rPr>
            <w:noProof/>
            <w:webHidden/>
          </w:rPr>
          <w:fldChar w:fldCharType="begin"/>
        </w:r>
        <w:r>
          <w:rPr>
            <w:noProof/>
            <w:webHidden/>
          </w:rPr>
          <w:instrText xml:space="preserve"> PAGEREF _Toc132104912 \h </w:instrText>
        </w:r>
        <w:r>
          <w:rPr>
            <w:noProof/>
            <w:webHidden/>
          </w:rPr>
        </w:r>
        <w:r>
          <w:rPr>
            <w:noProof/>
            <w:webHidden/>
          </w:rPr>
          <w:fldChar w:fldCharType="separate"/>
        </w:r>
        <w:r w:rsidR="00B9356F">
          <w:rPr>
            <w:noProof/>
            <w:webHidden/>
          </w:rPr>
          <w:t>2</w:t>
        </w:r>
        <w:r>
          <w:rPr>
            <w:noProof/>
            <w:webHidden/>
          </w:rPr>
          <w:fldChar w:fldCharType="end"/>
        </w:r>
      </w:hyperlink>
    </w:p>
    <w:p w:rsidR="000473E7" w:rsidRDefault="000473E7" w14:paraId="7283D371" w14:textId="2C7D6FE3">
      <w:pPr>
        <w:pStyle w:val="TableofFigures"/>
        <w:tabs>
          <w:tab w:val="right" w:leader="dot" w:pos="9016"/>
        </w:tabs>
        <w:rPr>
          <w:rFonts w:eastAsiaTheme="minorEastAsia"/>
          <w:noProof/>
          <w:lang w:eastAsia="en-GB"/>
        </w:rPr>
      </w:pPr>
      <w:hyperlink w:history="1" w:anchor="_Toc132104913">
        <w:r w:rsidRPr="00014C2C">
          <w:rPr>
            <w:rStyle w:val="Hyperlink"/>
            <w:noProof/>
          </w:rPr>
          <w:t>Table 3 - Projected Impacts for approved GFCR projects by 2030</w:t>
        </w:r>
        <w:r>
          <w:rPr>
            <w:noProof/>
            <w:webHidden/>
          </w:rPr>
          <w:tab/>
        </w:r>
        <w:r>
          <w:rPr>
            <w:noProof/>
            <w:webHidden/>
          </w:rPr>
          <w:fldChar w:fldCharType="begin"/>
        </w:r>
        <w:r>
          <w:rPr>
            <w:noProof/>
            <w:webHidden/>
          </w:rPr>
          <w:instrText xml:space="preserve"> PAGEREF _Toc132104913 \h </w:instrText>
        </w:r>
        <w:r>
          <w:rPr>
            <w:noProof/>
            <w:webHidden/>
          </w:rPr>
        </w:r>
        <w:r>
          <w:rPr>
            <w:noProof/>
            <w:webHidden/>
          </w:rPr>
          <w:fldChar w:fldCharType="separate"/>
        </w:r>
        <w:r w:rsidR="00B9356F">
          <w:rPr>
            <w:noProof/>
            <w:webHidden/>
          </w:rPr>
          <w:t>3</w:t>
        </w:r>
        <w:r>
          <w:rPr>
            <w:noProof/>
            <w:webHidden/>
          </w:rPr>
          <w:fldChar w:fldCharType="end"/>
        </w:r>
      </w:hyperlink>
    </w:p>
    <w:p w:rsidR="000473E7" w:rsidRDefault="000473E7" w14:paraId="4653895E" w14:textId="48ED013E">
      <w:pPr>
        <w:pStyle w:val="TableofFigures"/>
        <w:tabs>
          <w:tab w:val="right" w:leader="dot" w:pos="9016"/>
        </w:tabs>
        <w:rPr>
          <w:rFonts w:eastAsiaTheme="minorEastAsia"/>
          <w:noProof/>
          <w:lang w:eastAsia="en-GB"/>
        </w:rPr>
      </w:pPr>
      <w:hyperlink w:history="1" w:anchor="_Toc132104914">
        <w:r w:rsidRPr="00014C2C">
          <w:rPr>
            <w:rStyle w:val="Hyperlink"/>
            <w:noProof/>
          </w:rPr>
          <w:t>Table 4 - Alignment between delivery on GFCR targets and contribution towards BPF's KPIs</w:t>
        </w:r>
        <w:r>
          <w:rPr>
            <w:noProof/>
            <w:webHidden/>
          </w:rPr>
          <w:tab/>
        </w:r>
        <w:r>
          <w:rPr>
            <w:noProof/>
            <w:webHidden/>
          </w:rPr>
          <w:fldChar w:fldCharType="begin"/>
        </w:r>
        <w:r>
          <w:rPr>
            <w:noProof/>
            <w:webHidden/>
          </w:rPr>
          <w:instrText xml:space="preserve"> PAGEREF _Toc132104914 \h </w:instrText>
        </w:r>
        <w:r>
          <w:rPr>
            <w:noProof/>
            <w:webHidden/>
          </w:rPr>
        </w:r>
        <w:r>
          <w:rPr>
            <w:noProof/>
            <w:webHidden/>
          </w:rPr>
          <w:fldChar w:fldCharType="separate"/>
        </w:r>
        <w:r w:rsidR="00B9356F">
          <w:rPr>
            <w:noProof/>
            <w:webHidden/>
          </w:rPr>
          <w:t>4</w:t>
        </w:r>
        <w:r>
          <w:rPr>
            <w:noProof/>
            <w:webHidden/>
          </w:rPr>
          <w:fldChar w:fldCharType="end"/>
        </w:r>
      </w:hyperlink>
    </w:p>
    <w:p w:rsidR="000473E7" w:rsidRDefault="000473E7" w14:paraId="0DC9A39C" w14:textId="3716F589">
      <w:pPr>
        <w:pStyle w:val="TableofFigures"/>
        <w:tabs>
          <w:tab w:val="right" w:leader="dot" w:pos="9016"/>
        </w:tabs>
        <w:rPr>
          <w:rFonts w:eastAsiaTheme="minorEastAsia"/>
          <w:noProof/>
          <w:lang w:eastAsia="en-GB"/>
        </w:rPr>
      </w:pPr>
      <w:hyperlink w:history="1" w:anchor="_Toc132104915">
        <w:r w:rsidRPr="00014C2C">
          <w:rPr>
            <w:rStyle w:val="Hyperlink"/>
            <w:noProof/>
          </w:rPr>
          <w:t>Table 5 - Summary of Project GFCR Costs and Benefits</w:t>
        </w:r>
        <w:r>
          <w:rPr>
            <w:noProof/>
            <w:webHidden/>
          </w:rPr>
          <w:tab/>
        </w:r>
        <w:r>
          <w:rPr>
            <w:noProof/>
            <w:webHidden/>
          </w:rPr>
          <w:fldChar w:fldCharType="begin"/>
        </w:r>
        <w:r>
          <w:rPr>
            <w:noProof/>
            <w:webHidden/>
          </w:rPr>
          <w:instrText xml:space="preserve"> PAGEREF _Toc132104915 \h </w:instrText>
        </w:r>
        <w:r>
          <w:rPr>
            <w:noProof/>
            <w:webHidden/>
          </w:rPr>
        </w:r>
        <w:r>
          <w:rPr>
            <w:noProof/>
            <w:webHidden/>
          </w:rPr>
          <w:fldChar w:fldCharType="separate"/>
        </w:r>
        <w:r w:rsidR="00B9356F">
          <w:rPr>
            <w:noProof/>
            <w:webHidden/>
          </w:rPr>
          <w:t>7</w:t>
        </w:r>
        <w:r>
          <w:rPr>
            <w:noProof/>
            <w:webHidden/>
          </w:rPr>
          <w:fldChar w:fldCharType="end"/>
        </w:r>
      </w:hyperlink>
    </w:p>
    <w:p w:rsidR="000473E7" w:rsidRDefault="000473E7" w14:paraId="0B963D97" w14:textId="67220868">
      <w:pPr>
        <w:pStyle w:val="TableofFigures"/>
        <w:tabs>
          <w:tab w:val="right" w:leader="dot" w:pos="9016"/>
        </w:tabs>
        <w:rPr>
          <w:rFonts w:eastAsiaTheme="minorEastAsia"/>
          <w:noProof/>
          <w:lang w:eastAsia="en-GB"/>
        </w:rPr>
      </w:pPr>
      <w:hyperlink w:history="1" w:anchor="_Toc132104916">
        <w:r w:rsidRPr="00014C2C">
          <w:rPr>
            <w:rStyle w:val="Hyperlink"/>
            <w:noProof/>
          </w:rPr>
          <w:t>Table 6  - Inflation rates for project countries</w:t>
        </w:r>
        <w:r>
          <w:rPr>
            <w:noProof/>
            <w:webHidden/>
          </w:rPr>
          <w:tab/>
        </w:r>
        <w:r>
          <w:rPr>
            <w:noProof/>
            <w:webHidden/>
          </w:rPr>
          <w:fldChar w:fldCharType="begin"/>
        </w:r>
        <w:r>
          <w:rPr>
            <w:noProof/>
            <w:webHidden/>
          </w:rPr>
          <w:instrText xml:space="preserve"> PAGEREF _Toc132104916 \h </w:instrText>
        </w:r>
        <w:r>
          <w:rPr>
            <w:noProof/>
            <w:webHidden/>
          </w:rPr>
        </w:r>
        <w:r>
          <w:rPr>
            <w:noProof/>
            <w:webHidden/>
          </w:rPr>
          <w:fldChar w:fldCharType="separate"/>
        </w:r>
        <w:r w:rsidR="00B9356F">
          <w:rPr>
            <w:noProof/>
            <w:webHidden/>
          </w:rPr>
          <w:t>9</w:t>
        </w:r>
        <w:r>
          <w:rPr>
            <w:noProof/>
            <w:webHidden/>
          </w:rPr>
          <w:fldChar w:fldCharType="end"/>
        </w:r>
      </w:hyperlink>
    </w:p>
    <w:p w:rsidR="000473E7" w:rsidRDefault="000473E7" w14:paraId="1DC579E3" w14:textId="404B0CA6">
      <w:pPr>
        <w:pStyle w:val="TableofFigures"/>
        <w:tabs>
          <w:tab w:val="right" w:leader="dot" w:pos="9016"/>
        </w:tabs>
        <w:rPr>
          <w:rFonts w:eastAsiaTheme="minorEastAsia"/>
          <w:noProof/>
          <w:lang w:eastAsia="en-GB"/>
        </w:rPr>
      </w:pPr>
      <w:hyperlink w:history="1" w:anchor="_Toc132104917">
        <w:r w:rsidRPr="00014C2C">
          <w:rPr>
            <w:rStyle w:val="Hyperlink"/>
            <w:noProof/>
          </w:rPr>
          <w:t>Table 7 - Resourcing costs for uplift based on ready reckoner</w:t>
        </w:r>
        <w:r>
          <w:rPr>
            <w:noProof/>
            <w:webHidden/>
          </w:rPr>
          <w:tab/>
        </w:r>
        <w:r>
          <w:rPr>
            <w:noProof/>
            <w:webHidden/>
          </w:rPr>
          <w:fldChar w:fldCharType="begin"/>
        </w:r>
        <w:r>
          <w:rPr>
            <w:noProof/>
            <w:webHidden/>
          </w:rPr>
          <w:instrText xml:space="preserve"> PAGEREF _Toc132104917 \h </w:instrText>
        </w:r>
        <w:r>
          <w:rPr>
            <w:noProof/>
            <w:webHidden/>
          </w:rPr>
        </w:r>
        <w:r>
          <w:rPr>
            <w:noProof/>
            <w:webHidden/>
          </w:rPr>
          <w:fldChar w:fldCharType="separate"/>
        </w:r>
        <w:r w:rsidR="00B9356F">
          <w:rPr>
            <w:noProof/>
            <w:webHidden/>
          </w:rPr>
          <w:t>14</w:t>
        </w:r>
        <w:r>
          <w:rPr>
            <w:noProof/>
            <w:webHidden/>
          </w:rPr>
          <w:fldChar w:fldCharType="end"/>
        </w:r>
      </w:hyperlink>
    </w:p>
    <w:p w:rsidR="000473E7" w:rsidRDefault="000473E7" w14:paraId="3BE1BD80" w14:textId="659918BA">
      <w:pPr>
        <w:pStyle w:val="TableofFigures"/>
        <w:tabs>
          <w:tab w:val="right" w:leader="dot" w:pos="9016"/>
        </w:tabs>
        <w:rPr>
          <w:rFonts w:eastAsiaTheme="minorEastAsia"/>
          <w:noProof/>
          <w:lang w:eastAsia="en-GB"/>
        </w:rPr>
      </w:pPr>
      <w:hyperlink w:history="1" w:anchor="_Toc132104918">
        <w:r w:rsidRPr="00014C2C">
          <w:rPr>
            <w:rStyle w:val="Hyperlink"/>
            <w:noProof/>
          </w:rPr>
          <w:t>Table 8 -  Roles and responsibilities</w:t>
        </w:r>
        <w:r>
          <w:rPr>
            <w:noProof/>
            <w:webHidden/>
          </w:rPr>
          <w:tab/>
        </w:r>
        <w:r>
          <w:rPr>
            <w:noProof/>
            <w:webHidden/>
          </w:rPr>
          <w:fldChar w:fldCharType="begin"/>
        </w:r>
        <w:r>
          <w:rPr>
            <w:noProof/>
            <w:webHidden/>
          </w:rPr>
          <w:instrText xml:space="preserve"> PAGEREF _Toc132104918 \h </w:instrText>
        </w:r>
        <w:r>
          <w:rPr>
            <w:noProof/>
            <w:webHidden/>
          </w:rPr>
        </w:r>
        <w:r>
          <w:rPr>
            <w:noProof/>
            <w:webHidden/>
          </w:rPr>
          <w:fldChar w:fldCharType="separate"/>
        </w:r>
        <w:r w:rsidR="00B9356F">
          <w:rPr>
            <w:noProof/>
            <w:webHidden/>
          </w:rPr>
          <w:t>15</w:t>
        </w:r>
        <w:r>
          <w:rPr>
            <w:noProof/>
            <w:webHidden/>
          </w:rPr>
          <w:fldChar w:fldCharType="end"/>
        </w:r>
      </w:hyperlink>
    </w:p>
    <w:p w:rsidR="000473E7" w:rsidRDefault="000473E7" w14:paraId="5E2FAEA4" w14:textId="3BAAD3E4">
      <w:pPr>
        <w:pStyle w:val="TableofFigures"/>
        <w:tabs>
          <w:tab w:val="right" w:leader="dot" w:pos="9016"/>
        </w:tabs>
        <w:rPr>
          <w:rFonts w:eastAsiaTheme="minorEastAsia"/>
          <w:noProof/>
          <w:lang w:eastAsia="en-GB"/>
        </w:rPr>
      </w:pPr>
      <w:hyperlink w:history="1" w:anchor="_Toc132104919">
        <w:r w:rsidRPr="00014C2C">
          <w:rPr>
            <w:rStyle w:val="Hyperlink"/>
            <w:noProof/>
          </w:rPr>
          <w:t>Table 9 - GFCR Approved Projects and Appraisal Status</w:t>
        </w:r>
        <w:r>
          <w:rPr>
            <w:noProof/>
            <w:webHidden/>
          </w:rPr>
          <w:tab/>
        </w:r>
        <w:r>
          <w:rPr>
            <w:noProof/>
            <w:webHidden/>
          </w:rPr>
          <w:fldChar w:fldCharType="begin"/>
        </w:r>
        <w:r>
          <w:rPr>
            <w:noProof/>
            <w:webHidden/>
          </w:rPr>
          <w:instrText xml:space="preserve"> PAGEREF _Toc132104919 \h </w:instrText>
        </w:r>
        <w:r>
          <w:rPr>
            <w:noProof/>
            <w:webHidden/>
          </w:rPr>
        </w:r>
        <w:r>
          <w:rPr>
            <w:noProof/>
            <w:webHidden/>
          </w:rPr>
          <w:fldChar w:fldCharType="separate"/>
        </w:r>
        <w:r w:rsidR="00B9356F">
          <w:rPr>
            <w:noProof/>
            <w:webHidden/>
          </w:rPr>
          <w:t>17</w:t>
        </w:r>
        <w:r>
          <w:rPr>
            <w:noProof/>
            <w:webHidden/>
          </w:rPr>
          <w:fldChar w:fldCharType="end"/>
        </w:r>
      </w:hyperlink>
    </w:p>
    <w:p w:rsidR="000473E7" w:rsidRDefault="000473E7" w14:paraId="664BACEE" w14:textId="57BCC7AF">
      <w:pPr>
        <w:pStyle w:val="TableofFigures"/>
        <w:tabs>
          <w:tab w:val="right" w:leader="dot" w:pos="9016"/>
        </w:tabs>
        <w:rPr>
          <w:rFonts w:eastAsiaTheme="minorEastAsia"/>
          <w:noProof/>
          <w:lang w:eastAsia="en-GB"/>
        </w:rPr>
      </w:pPr>
      <w:hyperlink w:history="1" w:anchor="_Toc132104920">
        <w:r w:rsidRPr="00014C2C">
          <w:rPr>
            <w:rStyle w:val="Hyperlink"/>
            <w:noProof/>
          </w:rPr>
          <w:t>Table 10  - Summary of Due Diligence Reviews for UNDP and the GFCR</w:t>
        </w:r>
        <w:r>
          <w:rPr>
            <w:noProof/>
            <w:webHidden/>
          </w:rPr>
          <w:tab/>
        </w:r>
        <w:r>
          <w:rPr>
            <w:noProof/>
            <w:webHidden/>
          </w:rPr>
          <w:fldChar w:fldCharType="begin"/>
        </w:r>
        <w:r>
          <w:rPr>
            <w:noProof/>
            <w:webHidden/>
          </w:rPr>
          <w:instrText xml:space="preserve"> PAGEREF _Toc132104920 \h </w:instrText>
        </w:r>
        <w:r>
          <w:rPr>
            <w:noProof/>
            <w:webHidden/>
          </w:rPr>
        </w:r>
        <w:r>
          <w:rPr>
            <w:noProof/>
            <w:webHidden/>
          </w:rPr>
          <w:fldChar w:fldCharType="separate"/>
        </w:r>
        <w:r w:rsidR="00B9356F">
          <w:rPr>
            <w:noProof/>
            <w:webHidden/>
          </w:rPr>
          <w:t>22</w:t>
        </w:r>
        <w:r>
          <w:rPr>
            <w:noProof/>
            <w:webHidden/>
          </w:rPr>
          <w:fldChar w:fldCharType="end"/>
        </w:r>
      </w:hyperlink>
    </w:p>
    <w:p w:rsidR="000473E7" w:rsidRDefault="000473E7" w14:paraId="0036211F" w14:textId="0046BA0E">
      <w:pPr>
        <w:pStyle w:val="TableofFigures"/>
        <w:tabs>
          <w:tab w:val="right" w:leader="dot" w:pos="9016"/>
        </w:tabs>
        <w:rPr>
          <w:rFonts w:eastAsiaTheme="minorEastAsia"/>
          <w:noProof/>
          <w:lang w:eastAsia="en-GB"/>
        </w:rPr>
      </w:pPr>
      <w:hyperlink w:history="1" w:anchor="_Toc132104921">
        <w:r w:rsidRPr="00014C2C">
          <w:rPr>
            <w:rStyle w:val="Hyperlink"/>
            <w:noProof/>
          </w:rPr>
          <w:t>Table 11 - An overview of Fund-level and programme-level risks and managers</w:t>
        </w:r>
        <w:r>
          <w:rPr>
            <w:noProof/>
            <w:webHidden/>
          </w:rPr>
          <w:tab/>
        </w:r>
        <w:r>
          <w:rPr>
            <w:noProof/>
            <w:webHidden/>
          </w:rPr>
          <w:fldChar w:fldCharType="begin"/>
        </w:r>
        <w:r>
          <w:rPr>
            <w:noProof/>
            <w:webHidden/>
          </w:rPr>
          <w:instrText xml:space="preserve"> PAGEREF _Toc132104921 \h </w:instrText>
        </w:r>
        <w:r>
          <w:rPr>
            <w:noProof/>
            <w:webHidden/>
          </w:rPr>
        </w:r>
        <w:r>
          <w:rPr>
            <w:noProof/>
            <w:webHidden/>
          </w:rPr>
          <w:fldChar w:fldCharType="separate"/>
        </w:r>
        <w:r w:rsidR="00B9356F">
          <w:rPr>
            <w:noProof/>
            <w:webHidden/>
          </w:rPr>
          <w:t>23</w:t>
        </w:r>
        <w:r>
          <w:rPr>
            <w:noProof/>
            <w:webHidden/>
          </w:rPr>
          <w:fldChar w:fldCharType="end"/>
        </w:r>
      </w:hyperlink>
    </w:p>
    <w:p w:rsidR="000473E7" w:rsidRDefault="000473E7" w14:paraId="37A16300" w14:textId="55F5423F">
      <w:pPr>
        <w:pStyle w:val="TableofFigures"/>
        <w:tabs>
          <w:tab w:val="right" w:leader="dot" w:pos="9016"/>
        </w:tabs>
        <w:rPr>
          <w:rFonts w:eastAsiaTheme="minorEastAsia"/>
          <w:noProof/>
          <w:lang w:eastAsia="en-GB"/>
        </w:rPr>
      </w:pPr>
      <w:hyperlink w:history="1" w:anchor="_Toc132104922">
        <w:r w:rsidRPr="00014C2C">
          <w:rPr>
            <w:rStyle w:val="Hyperlink"/>
            <w:noProof/>
          </w:rPr>
          <w:t>Table 12 - Pathways of Defra Impact</w:t>
        </w:r>
        <w:r>
          <w:rPr>
            <w:noProof/>
            <w:webHidden/>
          </w:rPr>
          <w:tab/>
        </w:r>
        <w:r>
          <w:rPr>
            <w:noProof/>
            <w:webHidden/>
          </w:rPr>
          <w:fldChar w:fldCharType="begin"/>
        </w:r>
        <w:r>
          <w:rPr>
            <w:noProof/>
            <w:webHidden/>
          </w:rPr>
          <w:instrText xml:space="preserve"> PAGEREF _Toc132104922 \h </w:instrText>
        </w:r>
        <w:r>
          <w:rPr>
            <w:noProof/>
            <w:webHidden/>
          </w:rPr>
        </w:r>
        <w:r>
          <w:rPr>
            <w:noProof/>
            <w:webHidden/>
          </w:rPr>
          <w:fldChar w:fldCharType="separate"/>
        </w:r>
        <w:r w:rsidR="00B9356F">
          <w:rPr>
            <w:noProof/>
            <w:webHidden/>
          </w:rPr>
          <w:t>26</w:t>
        </w:r>
        <w:r>
          <w:rPr>
            <w:noProof/>
            <w:webHidden/>
          </w:rPr>
          <w:fldChar w:fldCharType="end"/>
        </w:r>
      </w:hyperlink>
    </w:p>
    <w:p w:rsidR="000473E7" w:rsidRDefault="000473E7" w14:paraId="455FCE71" w14:textId="1013A380">
      <w:pPr>
        <w:pStyle w:val="TableofFigures"/>
        <w:tabs>
          <w:tab w:val="right" w:leader="dot" w:pos="9016"/>
        </w:tabs>
        <w:rPr>
          <w:rFonts w:eastAsiaTheme="minorEastAsia"/>
          <w:noProof/>
          <w:lang w:eastAsia="en-GB"/>
        </w:rPr>
      </w:pPr>
      <w:hyperlink w:history="1" w:anchor="_Toc132104923">
        <w:r w:rsidRPr="00014C2C">
          <w:rPr>
            <w:rStyle w:val="Hyperlink"/>
            <w:noProof/>
          </w:rPr>
          <w:t>Table 13 Critical pathway for the GFCR programme</w:t>
        </w:r>
        <w:r>
          <w:rPr>
            <w:noProof/>
            <w:webHidden/>
          </w:rPr>
          <w:tab/>
        </w:r>
        <w:r>
          <w:rPr>
            <w:noProof/>
            <w:webHidden/>
          </w:rPr>
          <w:fldChar w:fldCharType="begin"/>
        </w:r>
        <w:r>
          <w:rPr>
            <w:noProof/>
            <w:webHidden/>
          </w:rPr>
          <w:instrText xml:space="preserve"> PAGEREF _Toc132104923 \h </w:instrText>
        </w:r>
        <w:r>
          <w:rPr>
            <w:noProof/>
            <w:webHidden/>
          </w:rPr>
        </w:r>
        <w:r>
          <w:rPr>
            <w:noProof/>
            <w:webHidden/>
          </w:rPr>
          <w:fldChar w:fldCharType="separate"/>
        </w:r>
        <w:r w:rsidR="00B9356F">
          <w:rPr>
            <w:noProof/>
            <w:webHidden/>
          </w:rPr>
          <w:t>28</w:t>
        </w:r>
        <w:r>
          <w:rPr>
            <w:noProof/>
            <w:webHidden/>
          </w:rPr>
          <w:fldChar w:fldCharType="end"/>
        </w:r>
      </w:hyperlink>
    </w:p>
    <w:p w:rsidR="000473E7" w:rsidRDefault="000473E7" w14:paraId="077FAC4E" w14:textId="6EB52C0E">
      <w:pPr>
        <w:pStyle w:val="TableofFigures"/>
        <w:tabs>
          <w:tab w:val="right" w:leader="dot" w:pos="9016"/>
        </w:tabs>
        <w:rPr>
          <w:rFonts w:eastAsiaTheme="minorEastAsia"/>
          <w:noProof/>
          <w:lang w:eastAsia="en-GB"/>
        </w:rPr>
      </w:pPr>
      <w:hyperlink w:history="1" w:anchor="_Toc132104924">
        <w:r w:rsidRPr="00014C2C">
          <w:rPr>
            <w:rStyle w:val="Hyperlink"/>
            <w:noProof/>
          </w:rPr>
          <w:t>Table 14 - Comparison between GFCR and similar funds</w:t>
        </w:r>
        <w:r>
          <w:rPr>
            <w:noProof/>
            <w:webHidden/>
          </w:rPr>
          <w:tab/>
        </w:r>
        <w:r>
          <w:rPr>
            <w:noProof/>
            <w:webHidden/>
          </w:rPr>
          <w:fldChar w:fldCharType="begin"/>
        </w:r>
        <w:r>
          <w:rPr>
            <w:noProof/>
            <w:webHidden/>
          </w:rPr>
          <w:instrText xml:space="preserve"> PAGEREF _Toc132104924 \h </w:instrText>
        </w:r>
        <w:r>
          <w:rPr>
            <w:noProof/>
            <w:webHidden/>
          </w:rPr>
        </w:r>
        <w:r>
          <w:rPr>
            <w:noProof/>
            <w:webHidden/>
          </w:rPr>
          <w:fldChar w:fldCharType="separate"/>
        </w:r>
        <w:r w:rsidR="00B9356F">
          <w:rPr>
            <w:noProof/>
            <w:webHidden/>
          </w:rPr>
          <w:t>30</w:t>
        </w:r>
        <w:r>
          <w:rPr>
            <w:noProof/>
            <w:webHidden/>
          </w:rPr>
          <w:fldChar w:fldCharType="end"/>
        </w:r>
      </w:hyperlink>
    </w:p>
    <w:p w:rsidR="000473E7" w:rsidRDefault="000473E7" w14:paraId="4801EB5A" w14:textId="2F1C8899">
      <w:pPr>
        <w:pStyle w:val="TableofFigures"/>
        <w:tabs>
          <w:tab w:val="right" w:leader="dot" w:pos="9016"/>
        </w:tabs>
        <w:rPr>
          <w:rFonts w:eastAsiaTheme="minorEastAsia"/>
          <w:noProof/>
          <w:lang w:eastAsia="en-GB"/>
        </w:rPr>
      </w:pPr>
      <w:hyperlink w:history="1" w:anchor="_Toc132104925">
        <w:r w:rsidRPr="00014C2C">
          <w:rPr>
            <w:rStyle w:val="Hyperlink"/>
            <w:noProof/>
          </w:rPr>
          <w:t>Table  15  - Detail of risks and mitigating action</w:t>
        </w:r>
        <w:r>
          <w:rPr>
            <w:noProof/>
            <w:webHidden/>
          </w:rPr>
          <w:tab/>
        </w:r>
        <w:r>
          <w:rPr>
            <w:noProof/>
            <w:webHidden/>
          </w:rPr>
          <w:fldChar w:fldCharType="begin"/>
        </w:r>
        <w:r>
          <w:rPr>
            <w:noProof/>
            <w:webHidden/>
          </w:rPr>
          <w:instrText xml:space="preserve"> PAGEREF _Toc132104925 \h </w:instrText>
        </w:r>
        <w:r>
          <w:rPr>
            <w:noProof/>
            <w:webHidden/>
          </w:rPr>
        </w:r>
        <w:r>
          <w:rPr>
            <w:noProof/>
            <w:webHidden/>
          </w:rPr>
          <w:fldChar w:fldCharType="separate"/>
        </w:r>
        <w:r w:rsidR="00B9356F">
          <w:rPr>
            <w:noProof/>
            <w:webHidden/>
          </w:rPr>
          <w:t>39</w:t>
        </w:r>
        <w:r>
          <w:rPr>
            <w:noProof/>
            <w:webHidden/>
          </w:rPr>
          <w:fldChar w:fldCharType="end"/>
        </w:r>
      </w:hyperlink>
    </w:p>
    <w:p w:rsidRPr="007E54DC" w:rsidR="0095161A" w:rsidP="005F34F6" w:rsidRDefault="00480F39" w14:paraId="0479767D" w14:textId="0CAEAC52">
      <w:pPr>
        <w:spacing w:after="0"/>
      </w:pPr>
      <w:r w:rsidRPr="007E54DC">
        <w:fldChar w:fldCharType="end"/>
      </w:r>
    </w:p>
    <w:p w:rsidRPr="007E54DC" w:rsidR="00947D53" w:rsidP="005F34F6" w:rsidRDefault="00947D53" w14:paraId="6A0F510B" w14:textId="77777777">
      <w:pPr>
        <w:spacing w:after="0"/>
      </w:pPr>
    </w:p>
    <w:p w:rsidRPr="007E54DC" w:rsidR="00204903" w:rsidRDefault="00480F39" w14:paraId="5BD73318" w14:textId="487E618F">
      <w:pPr>
        <w:pStyle w:val="TableofFigures"/>
        <w:tabs>
          <w:tab w:val="right" w:leader="dot" w:pos="9016"/>
        </w:tabs>
        <w:rPr>
          <w:rFonts w:eastAsiaTheme="minorEastAsia"/>
          <w:noProof/>
          <w:lang w:eastAsia="en-GB"/>
        </w:rPr>
      </w:pPr>
      <w:r w:rsidRPr="007E54DC">
        <w:fldChar w:fldCharType="begin"/>
      </w:r>
      <w:r w:rsidRPr="007E54DC">
        <w:instrText xml:space="preserve"> TOC \h \z \c "Figure" </w:instrText>
      </w:r>
      <w:r w:rsidRPr="007E54DC">
        <w:fldChar w:fldCharType="separate"/>
      </w:r>
      <w:hyperlink w:history="1" w:anchor="_Toc121907669">
        <w:r w:rsidRPr="007E54DC" w:rsidR="00204903">
          <w:rPr>
            <w:rStyle w:val="Hyperlink"/>
            <w:noProof/>
          </w:rPr>
          <w:t>Figure 1  - GFCR Project Pipeline 2022/23</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_Toc121907669 \h </w:instrText>
        </w:r>
        <w:r w:rsidRPr="007E54DC" w:rsidR="00204903">
          <w:rPr>
            <w:noProof/>
            <w:webHidden/>
          </w:rPr>
        </w:r>
        <w:r w:rsidRPr="007E54DC" w:rsidR="00204903">
          <w:rPr>
            <w:noProof/>
            <w:webHidden/>
          </w:rPr>
          <w:fldChar w:fldCharType="separate"/>
        </w:r>
        <w:r w:rsidR="00B9356F">
          <w:rPr>
            <w:noProof/>
            <w:webHidden/>
          </w:rPr>
          <w:t>1</w:t>
        </w:r>
        <w:r w:rsidRPr="007E54DC" w:rsidR="00204903">
          <w:rPr>
            <w:noProof/>
            <w:webHidden/>
          </w:rPr>
          <w:fldChar w:fldCharType="end"/>
        </w:r>
      </w:hyperlink>
    </w:p>
    <w:p w:rsidRPr="007E54DC" w:rsidR="00204903" w:rsidRDefault="0089739D" w14:paraId="69CFF6C8" w14:textId="247BD101">
      <w:pPr>
        <w:pStyle w:val="TableofFigures"/>
        <w:tabs>
          <w:tab w:val="right" w:leader="dot" w:pos="9016"/>
        </w:tabs>
        <w:rPr>
          <w:rFonts w:eastAsiaTheme="minorEastAsia"/>
          <w:noProof/>
          <w:lang w:eastAsia="en-GB"/>
        </w:rPr>
      </w:pPr>
      <w:hyperlink w:history="1" w:anchor="_Toc121907670">
        <w:r w:rsidRPr="007E54DC" w:rsidR="00204903">
          <w:rPr>
            <w:rStyle w:val="Hyperlink"/>
            <w:noProof/>
          </w:rPr>
          <w:t>Figure 2 – Fund model interactions</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_Toc121907670 \h </w:instrText>
        </w:r>
        <w:r w:rsidRPr="007E54DC" w:rsidR="00204903">
          <w:rPr>
            <w:noProof/>
            <w:webHidden/>
          </w:rPr>
        </w:r>
        <w:r w:rsidRPr="007E54DC" w:rsidR="00204903">
          <w:rPr>
            <w:noProof/>
            <w:webHidden/>
          </w:rPr>
          <w:fldChar w:fldCharType="separate"/>
        </w:r>
        <w:r w:rsidR="00B9356F">
          <w:rPr>
            <w:noProof/>
            <w:webHidden/>
          </w:rPr>
          <w:t>27</w:t>
        </w:r>
        <w:r w:rsidRPr="007E54DC" w:rsidR="00204903">
          <w:rPr>
            <w:noProof/>
            <w:webHidden/>
          </w:rPr>
          <w:fldChar w:fldCharType="end"/>
        </w:r>
      </w:hyperlink>
    </w:p>
    <w:p w:rsidRPr="007E54DC" w:rsidR="00204903" w:rsidRDefault="0089739D" w14:paraId="6A3B5967" w14:textId="59EA3A38">
      <w:pPr>
        <w:pStyle w:val="TableofFigures"/>
        <w:tabs>
          <w:tab w:val="right" w:leader="dot" w:pos="9016"/>
        </w:tabs>
        <w:rPr>
          <w:rFonts w:eastAsiaTheme="minorEastAsia"/>
          <w:noProof/>
          <w:lang w:eastAsia="en-GB"/>
        </w:rPr>
      </w:pPr>
      <w:hyperlink w:history="1" w:anchor="_Toc121907671">
        <w:r w:rsidRPr="007E54DC" w:rsidR="00204903">
          <w:rPr>
            <w:rStyle w:val="Hyperlink"/>
            <w:noProof/>
          </w:rPr>
          <w:t>Figure 3 -  GFCR Theory of Change</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_Toc121907671 \h </w:instrText>
        </w:r>
        <w:r w:rsidRPr="007E54DC" w:rsidR="00204903">
          <w:rPr>
            <w:noProof/>
            <w:webHidden/>
          </w:rPr>
        </w:r>
        <w:r w:rsidRPr="007E54DC" w:rsidR="00204903">
          <w:rPr>
            <w:noProof/>
            <w:webHidden/>
          </w:rPr>
          <w:fldChar w:fldCharType="separate"/>
        </w:r>
        <w:r w:rsidR="00B9356F">
          <w:rPr>
            <w:noProof/>
            <w:webHidden/>
          </w:rPr>
          <w:t>29</w:t>
        </w:r>
        <w:r w:rsidRPr="007E54DC" w:rsidR="00204903">
          <w:rPr>
            <w:noProof/>
            <w:webHidden/>
          </w:rPr>
          <w:fldChar w:fldCharType="end"/>
        </w:r>
      </w:hyperlink>
    </w:p>
    <w:p w:rsidRPr="007E54DC" w:rsidR="00204903" w:rsidRDefault="0089739D" w14:paraId="01E1C333" w14:textId="63E43650">
      <w:pPr>
        <w:pStyle w:val="TableofFigures"/>
        <w:tabs>
          <w:tab w:val="right" w:leader="dot" w:pos="9016"/>
        </w:tabs>
        <w:rPr>
          <w:rFonts w:eastAsiaTheme="minorEastAsia"/>
          <w:noProof/>
          <w:lang w:eastAsia="en-GB"/>
        </w:rPr>
      </w:pPr>
      <w:hyperlink w:history="1" w:anchor="_Toc121907672">
        <w:r w:rsidRPr="007E54DC" w:rsidR="00204903">
          <w:rPr>
            <w:rStyle w:val="Hyperlink"/>
            <w:noProof/>
          </w:rPr>
          <w:t>Figure 4 - BPF Programming under the MPA and OECM outcome</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_Toc121907672 \h </w:instrText>
        </w:r>
        <w:r w:rsidRPr="007E54DC" w:rsidR="00204903">
          <w:rPr>
            <w:noProof/>
            <w:webHidden/>
          </w:rPr>
        </w:r>
        <w:r w:rsidRPr="007E54DC" w:rsidR="00204903">
          <w:rPr>
            <w:noProof/>
            <w:webHidden/>
          </w:rPr>
          <w:fldChar w:fldCharType="separate"/>
        </w:r>
        <w:r w:rsidR="00B9356F">
          <w:rPr>
            <w:noProof/>
            <w:webHidden/>
          </w:rPr>
          <w:t>32</w:t>
        </w:r>
        <w:r w:rsidRPr="007E54DC" w:rsidR="00204903">
          <w:rPr>
            <w:noProof/>
            <w:webHidden/>
          </w:rPr>
          <w:fldChar w:fldCharType="end"/>
        </w:r>
      </w:hyperlink>
    </w:p>
    <w:p w:rsidRPr="007E54DC" w:rsidR="00204903" w:rsidRDefault="0089739D" w14:paraId="4D0A3BE4" w14:textId="5C695583">
      <w:pPr>
        <w:pStyle w:val="TableofFigures"/>
        <w:tabs>
          <w:tab w:val="right" w:leader="dot" w:pos="9016"/>
        </w:tabs>
        <w:rPr>
          <w:rFonts w:eastAsiaTheme="minorEastAsia"/>
          <w:noProof/>
          <w:lang w:eastAsia="en-GB"/>
        </w:rPr>
      </w:pPr>
      <w:hyperlink w:history="1" w:anchor="_Toc121907673">
        <w:r w:rsidRPr="007E54DC" w:rsidR="00204903">
          <w:rPr>
            <w:rStyle w:val="Hyperlink"/>
            <w:noProof/>
          </w:rPr>
          <w:t>Figure 5 - Governance structure for GFCR</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_Toc121907673 \h </w:instrText>
        </w:r>
        <w:r w:rsidRPr="007E54DC" w:rsidR="00204903">
          <w:rPr>
            <w:noProof/>
            <w:webHidden/>
          </w:rPr>
        </w:r>
        <w:r w:rsidRPr="007E54DC" w:rsidR="00204903">
          <w:rPr>
            <w:noProof/>
            <w:webHidden/>
          </w:rPr>
          <w:fldChar w:fldCharType="separate"/>
        </w:r>
        <w:r w:rsidR="00B9356F">
          <w:rPr>
            <w:noProof/>
            <w:webHidden/>
          </w:rPr>
          <w:t>40</w:t>
        </w:r>
        <w:r w:rsidRPr="007E54DC" w:rsidR="00204903">
          <w:rPr>
            <w:noProof/>
            <w:webHidden/>
          </w:rPr>
          <w:fldChar w:fldCharType="end"/>
        </w:r>
      </w:hyperlink>
    </w:p>
    <w:p w:rsidRPr="007E54DC" w:rsidR="00204903" w:rsidRDefault="0089739D" w14:paraId="1CA874CC" w14:textId="08135D72">
      <w:pPr>
        <w:pStyle w:val="TableofFigures"/>
        <w:tabs>
          <w:tab w:val="right" w:leader="dot" w:pos="9016"/>
        </w:tabs>
        <w:rPr>
          <w:rFonts w:eastAsiaTheme="minorEastAsia"/>
          <w:noProof/>
          <w:lang w:eastAsia="en-GB"/>
        </w:rPr>
      </w:pPr>
      <w:hyperlink w:history="1" w:anchor="_Toc121907674">
        <w:r w:rsidRPr="007E54DC" w:rsidR="00204903">
          <w:rPr>
            <w:rStyle w:val="Hyperlink"/>
            <w:noProof/>
          </w:rPr>
          <w:t>Figure 6 - Makeup of the Executive Board</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_Toc121907674 \h </w:instrText>
        </w:r>
        <w:r w:rsidRPr="007E54DC" w:rsidR="00204903">
          <w:rPr>
            <w:noProof/>
            <w:webHidden/>
          </w:rPr>
        </w:r>
        <w:r w:rsidRPr="007E54DC" w:rsidR="00204903">
          <w:rPr>
            <w:noProof/>
            <w:webHidden/>
          </w:rPr>
          <w:fldChar w:fldCharType="separate"/>
        </w:r>
        <w:r w:rsidR="00B9356F">
          <w:rPr>
            <w:noProof/>
            <w:webHidden/>
          </w:rPr>
          <w:t>40</w:t>
        </w:r>
        <w:r w:rsidRPr="007E54DC" w:rsidR="00204903">
          <w:rPr>
            <w:noProof/>
            <w:webHidden/>
          </w:rPr>
          <w:fldChar w:fldCharType="end"/>
        </w:r>
      </w:hyperlink>
    </w:p>
    <w:p w:rsidRPr="007E54DC" w:rsidR="002D7C00" w:rsidP="00623A40" w:rsidRDefault="00480F39" w14:paraId="0134A56E" w14:textId="29D0073D">
      <w:r w:rsidRPr="007E54DC">
        <w:fldChar w:fldCharType="end"/>
      </w:r>
    </w:p>
    <w:p w:rsidRPr="007E54DC" w:rsidR="00A15CD9" w:rsidP="00623A40" w:rsidRDefault="00A15CD9" w14:paraId="42527FA1" w14:textId="77777777"/>
    <w:p w:rsidRPr="007E54DC" w:rsidR="00A15CD9" w:rsidP="00623A40" w:rsidRDefault="00A15CD9" w14:paraId="6A323539" w14:textId="77777777"/>
    <w:p w:rsidRPr="007E54DC" w:rsidR="00A15CD9" w:rsidP="00623A40" w:rsidRDefault="00A15CD9" w14:paraId="614F6BAA" w14:textId="77777777"/>
    <w:p w:rsidRPr="007E54DC" w:rsidR="00A15CD9" w:rsidP="00623A40" w:rsidRDefault="00A15CD9" w14:paraId="41A698FA" w14:textId="77777777"/>
    <w:p w:rsidRPr="007E54DC" w:rsidR="00A15CD9" w:rsidP="00623A40" w:rsidRDefault="00A15CD9" w14:paraId="4A77B081" w14:textId="77777777"/>
    <w:p w:rsidRPr="007E54DC" w:rsidR="00A15CD9" w:rsidP="00623A40" w:rsidRDefault="00A15CD9" w14:paraId="656DE4EE" w14:textId="77777777"/>
    <w:p w:rsidRPr="007E54DC" w:rsidR="00A15CD9" w:rsidP="00623A40" w:rsidRDefault="00A15CD9" w14:paraId="1089EE2D" w14:textId="77777777"/>
    <w:p w:rsidRPr="007E54DC" w:rsidR="00A15CD9" w:rsidP="00623A40" w:rsidRDefault="00A15CD9" w14:paraId="448CA61D" w14:textId="77777777"/>
    <w:p w:rsidRPr="007E54DC" w:rsidR="00A15CD9" w:rsidP="00623A40" w:rsidRDefault="00A15CD9" w14:paraId="126A7CAB" w14:textId="77777777"/>
    <w:p w:rsidRPr="007E54DC" w:rsidR="00A15CD9" w:rsidP="00623A40" w:rsidRDefault="00A15CD9" w14:paraId="7D6CB8BF" w14:textId="77777777"/>
    <w:p w:rsidRPr="007E54DC" w:rsidR="00A15CD9" w:rsidP="00623A40" w:rsidRDefault="00A15CD9" w14:paraId="7276413A" w14:textId="77777777"/>
    <w:p w:rsidRPr="007E54DC" w:rsidR="00A15CD9" w:rsidP="00623A40" w:rsidRDefault="00A15CD9" w14:paraId="66F844B7" w14:textId="77777777"/>
    <w:p w:rsidRPr="007E54DC" w:rsidR="00A15CD9" w:rsidP="00623A40" w:rsidRDefault="00A15CD9" w14:paraId="75D6D3C1" w14:textId="77777777"/>
    <w:p w:rsidRPr="007E54DC" w:rsidR="00A15CD9" w:rsidP="00623A40" w:rsidRDefault="00A15CD9" w14:paraId="70FCB110" w14:textId="77777777"/>
    <w:p w:rsidRPr="007E54DC" w:rsidR="00A15CD9" w:rsidP="00623A40" w:rsidRDefault="00A15CD9" w14:paraId="433E6699" w14:textId="77777777"/>
    <w:p w:rsidRPr="007E54DC" w:rsidR="00A15CD9" w:rsidP="00623A40" w:rsidRDefault="00A15CD9" w14:paraId="32EFEA53" w14:textId="77777777"/>
    <w:p w:rsidRPr="007E54DC" w:rsidR="00A15CD9" w:rsidP="00623A40" w:rsidRDefault="00A15CD9" w14:paraId="7A257207" w14:textId="77777777"/>
    <w:p w:rsidRPr="007E54DC" w:rsidR="00A15CD9" w:rsidP="00623A40" w:rsidRDefault="00A15CD9" w14:paraId="6446E16E" w14:textId="77777777"/>
    <w:p w:rsidRPr="007E54DC" w:rsidR="00A15CD9" w:rsidP="00623A40" w:rsidRDefault="00A15CD9" w14:paraId="7879FDA8" w14:textId="77777777"/>
    <w:p w:rsidR="00A15CD9" w:rsidP="00623A40" w:rsidRDefault="00A15CD9" w14:paraId="7FD3F012" w14:textId="2984E55D"/>
    <w:p w:rsidRPr="007E54DC" w:rsidR="000473E7" w:rsidP="00623A40" w:rsidRDefault="000473E7" w14:paraId="6A5FE531" w14:textId="77777777"/>
    <w:p w:rsidRPr="007E54DC" w:rsidR="00A15CD9" w:rsidP="00623A40" w:rsidRDefault="00A15CD9" w14:paraId="7BA02078" w14:textId="77777777"/>
    <w:p w:rsidRPr="007E54DC" w:rsidR="0065528E" w:rsidP="005F34F6" w:rsidRDefault="0065528E" w14:paraId="0B51EE32" w14:textId="5BFAF79E" w14:noSpellErr="1">
      <w:pPr>
        <w:pStyle w:val="Heading1"/>
        <w:spacing w:before="240"/>
        <w:rPr/>
      </w:pPr>
      <w:bookmarkStart w:name="_Toc690938344" w:id="967149137"/>
      <w:r w:rsidR="0065528E">
        <w:rPr/>
        <w:t>Glossary</w:t>
      </w:r>
      <w:bookmarkEnd w:id="967149137"/>
    </w:p>
    <w:tbl>
      <w:tblPr>
        <w:tblW w:w="5000" w:type="pct"/>
        <w:tblBorders>
          <w:insideH w:val="single" w:color="auto" w:sz="4" w:space="0"/>
        </w:tblBorders>
        <w:tblLook w:val="04A0" w:firstRow="1" w:lastRow="0" w:firstColumn="1" w:lastColumn="0" w:noHBand="0" w:noVBand="1"/>
      </w:tblPr>
      <w:tblGrid>
        <w:gridCol w:w="1338"/>
        <w:gridCol w:w="7688"/>
      </w:tblGrid>
      <w:tr w:rsidRPr="007E54DC" w:rsidR="005F34F6" w:rsidTr="23A59346" w14:paraId="75171791" w14:textId="77777777">
        <w:trPr>
          <w:trHeight w:val="300"/>
        </w:trPr>
        <w:tc>
          <w:tcPr>
            <w:tcW w:w="741" w:type="pct"/>
            <w:shd w:val="clear" w:color="auto" w:fill="auto"/>
            <w:noWrap/>
            <w:vAlign w:val="bottom"/>
            <w:hideMark/>
          </w:tcPr>
          <w:p w:rsidRPr="007E54DC" w:rsidR="005F34F6" w:rsidP="005F34F6" w:rsidRDefault="005F34F6" w14:paraId="6C2B9968"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BCR</w:t>
            </w:r>
          </w:p>
        </w:tc>
        <w:tc>
          <w:tcPr>
            <w:tcW w:w="4259" w:type="pct"/>
            <w:shd w:val="clear" w:color="auto" w:fill="auto"/>
            <w:noWrap/>
            <w:vAlign w:val="bottom"/>
            <w:hideMark/>
          </w:tcPr>
          <w:p w:rsidRPr="007E54DC" w:rsidR="005F34F6" w:rsidP="005F34F6" w:rsidRDefault="005F34F6" w14:paraId="5FA91853"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Benefit to Cost Ratio</w:t>
            </w:r>
          </w:p>
        </w:tc>
      </w:tr>
      <w:tr w:rsidRPr="007E54DC" w:rsidR="005F34F6" w:rsidTr="23A59346" w14:paraId="5B68AFB3" w14:textId="77777777">
        <w:trPr>
          <w:trHeight w:val="300"/>
        </w:trPr>
        <w:tc>
          <w:tcPr>
            <w:tcW w:w="741" w:type="pct"/>
            <w:shd w:val="clear" w:color="auto" w:fill="auto"/>
            <w:noWrap/>
            <w:vAlign w:val="bottom"/>
            <w:hideMark/>
          </w:tcPr>
          <w:p w:rsidRPr="007E54DC" w:rsidR="005F34F6" w:rsidP="005F34F6" w:rsidRDefault="005F34F6" w14:paraId="11F019B4"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BPF</w:t>
            </w:r>
          </w:p>
        </w:tc>
        <w:tc>
          <w:tcPr>
            <w:tcW w:w="4259" w:type="pct"/>
            <w:shd w:val="clear" w:color="auto" w:fill="auto"/>
            <w:noWrap/>
            <w:vAlign w:val="bottom"/>
            <w:hideMark/>
          </w:tcPr>
          <w:p w:rsidRPr="007E54DC" w:rsidR="005F34F6" w:rsidP="005F34F6" w:rsidRDefault="005F34F6" w14:paraId="4316C3F7"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Blue Planet Fund</w:t>
            </w:r>
          </w:p>
        </w:tc>
      </w:tr>
      <w:tr w:rsidRPr="007E54DC" w:rsidR="23A59346" w:rsidTr="23A59346" w14:paraId="4BF940BB" w14:textId="77777777">
        <w:trPr>
          <w:trHeight w:val="300"/>
        </w:trPr>
        <w:tc>
          <w:tcPr>
            <w:tcW w:w="1338" w:type="dxa"/>
            <w:shd w:val="clear" w:color="auto" w:fill="auto"/>
            <w:noWrap/>
            <w:vAlign w:val="bottom"/>
            <w:hideMark/>
          </w:tcPr>
          <w:p w:rsidRPr="007E54DC" w:rsidR="72B2D074" w:rsidP="23A59346" w:rsidRDefault="72B2D074" w14:paraId="552CD931" w14:textId="7B313204">
            <w:pPr>
              <w:spacing w:line="240" w:lineRule="auto"/>
              <w:jc w:val="left"/>
              <w:rPr>
                <w:rFonts w:ascii="Calibri" w:hAnsi="Calibri" w:eastAsia="Times New Roman" w:cs="Calibri"/>
                <w:color w:val="000000" w:themeColor="text1"/>
                <w:lang w:eastAsia="en-GB"/>
              </w:rPr>
            </w:pPr>
            <w:r w:rsidRPr="007E54DC">
              <w:rPr>
                <w:rFonts w:ascii="Calibri" w:hAnsi="Calibri" w:eastAsia="Times New Roman" w:cs="Calibri"/>
                <w:color w:val="000000" w:themeColor="text1"/>
                <w:lang w:eastAsia="en-GB"/>
              </w:rPr>
              <w:t>CBD COP15</w:t>
            </w:r>
          </w:p>
        </w:tc>
        <w:tc>
          <w:tcPr>
            <w:tcW w:w="7688" w:type="dxa"/>
            <w:shd w:val="clear" w:color="auto" w:fill="auto"/>
            <w:noWrap/>
            <w:vAlign w:val="bottom"/>
            <w:hideMark/>
          </w:tcPr>
          <w:p w:rsidRPr="00857311" w:rsidR="72B2D074" w:rsidP="23A59346" w:rsidRDefault="0089739D" w14:paraId="2388556B" w14:textId="7AA9D7FE">
            <w:pPr>
              <w:spacing w:line="240" w:lineRule="auto"/>
              <w:jc w:val="left"/>
              <w:rPr>
                <w:rFonts w:ascii="Calibri" w:hAnsi="Calibri" w:eastAsia="Calibri" w:cs="Calibri"/>
                <w:color w:val="00483A"/>
              </w:rPr>
            </w:pPr>
            <w:hyperlink r:id="rId17">
              <w:r w:rsidRPr="00857311" w:rsidR="72B2D074">
                <w:rPr>
                  <w:rFonts w:ascii="Calibri" w:hAnsi="Calibri" w:eastAsia="Calibri" w:cs="Calibri"/>
                </w:rPr>
                <w:t>15th Conference of Parties to the UN Convention on Biological Diversity.</w:t>
              </w:r>
            </w:hyperlink>
          </w:p>
        </w:tc>
      </w:tr>
      <w:tr w:rsidRPr="007E54DC" w:rsidR="005F34F6" w:rsidTr="23A59346" w14:paraId="42407546" w14:textId="77777777">
        <w:trPr>
          <w:trHeight w:val="300"/>
        </w:trPr>
        <w:tc>
          <w:tcPr>
            <w:tcW w:w="741" w:type="pct"/>
            <w:shd w:val="clear" w:color="auto" w:fill="auto"/>
            <w:noWrap/>
            <w:vAlign w:val="bottom"/>
            <w:hideMark/>
          </w:tcPr>
          <w:p w:rsidRPr="007E54DC" w:rsidR="005F34F6" w:rsidP="005F34F6" w:rsidRDefault="005F34F6" w14:paraId="5A293F1E"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COAST</w:t>
            </w:r>
          </w:p>
        </w:tc>
        <w:tc>
          <w:tcPr>
            <w:tcW w:w="4259" w:type="pct"/>
            <w:shd w:val="clear" w:color="auto" w:fill="auto"/>
            <w:noWrap/>
            <w:vAlign w:val="bottom"/>
            <w:hideMark/>
          </w:tcPr>
          <w:p w:rsidRPr="007E54DC" w:rsidR="005F34F6" w:rsidP="005F34F6" w:rsidRDefault="005F34F6" w14:paraId="7B673A9C"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Climate and Ocean Adaptation and Sustainable Transition</w:t>
            </w:r>
          </w:p>
        </w:tc>
      </w:tr>
      <w:tr w:rsidRPr="007E54DC" w:rsidR="00422AB4" w:rsidTr="23A59346" w14:paraId="07DD51D7" w14:textId="77777777">
        <w:trPr>
          <w:trHeight w:val="300"/>
        </w:trPr>
        <w:tc>
          <w:tcPr>
            <w:tcW w:w="741" w:type="pct"/>
            <w:shd w:val="clear" w:color="auto" w:fill="auto"/>
            <w:noWrap/>
            <w:vAlign w:val="bottom"/>
          </w:tcPr>
          <w:p w:rsidRPr="007E54DC" w:rsidR="00422AB4" w:rsidP="005F34F6" w:rsidRDefault="00422AB4" w14:paraId="75267517" w14:textId="73D3B9EB">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CORDAP</w:t>
            </w:r>
          </w:p>
        </w:tc>
        <w:tc>
          <w:tcPr>
            <w:tcW w:w="4259" w:type="pct"/>
            <w:shd w:val="clear" w:color="auto" w:fill="auto"/>
            <w:noWrap/>
            <w:vAlign w:val="bottom"/>
          </w:tcPr>
          <w:p w:rsidRPr="007E54DC" w:rsidR="00422AB4" w:rsidP="005F34F6" w:rsidRDefault="00422AB4" w14:paraId="5F66DA9B" w14:textId="18056EDB">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Coral Research &amp; Development Accelerator Platform</w:t>
            </w:r>
          </w:p>
        </w:tc>
      </w:tr>
      <w:tr w:rsidRPr="007E54DC" w:rsidR="005F34F6" w:rsidTr="23A59346" w14:paraId="019EEA5C" w14:textId="77777777">
        <w:trPr>
          <w:trHeight w:val="300"/>
        </w:trPr>
        <w:tc>
          <w:tcPr>
            <w:tcW w:w="741" w:type="pct"/>
            <w:shd w:val="clear" w:color="auto" w:fill="auto"/>
            <w:noWrap/>
            <w:vAlign w:val="bottom"/>
            <w:hideMark/>
          </w:tcPr>
          <w:p w:rsidRPr="007E54DC" w:rsidR="005F34F6" w:rsidP="005F34F6" w:rsidRDefault="005F34F6" w14:paraId="3DDFC8FC"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EB</w:t>
            </w:r>
          </w:p>
        </w:tc>
        <w:tc>
          <w:tcPr>
            <w:tcW w:w="4259" w:type="pct"/>
            <w:shd w:val="clear" w:color="auto" w:fill="auto"/>
            <w:noWrap/>
            <w:vAlign w:val="bottom"/>
            <w:hideMark/>
          </w:tcPr>
          <w:p w:rsidRPr="007E54DC" w:rsidR="005F34F6" w:rsidP="005F34F6" w:rsidRDefault="005F34F6" w14:paraId="4D2E3B1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Executive Board</w:t>
            </w:r>
          </w:p>
        </w:tc>
      </w:tr>
      <w:tr w:rsidRPr="007E54DC" w:rsidR="005F34F6" w:rsidTr="23A59346" w14:paraId="5AD2936F" w14:textId="77777777">
        <w:trPr>
          <w:trHeight w:val="300"/>
        </w:trPr>
        <w:tc>
          <w:tcPr>
            <w:tcW w:w="741" w:type="pct"/>
            <w:shd w:val="clear" w:color="auto" w:fill="auto"/>
            <w:noWrap/>
            <w:vAlign w:val="bottom"/>
            <w:hideMark/>
          </w:tcPr>
          <w:p w:rsidRPr="007E54DC" w:rsidR="005F34F6" w:rsidP="005F34F6" w:rsidRDefault="005F34F6" w14:paraId="48917395"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EIA</w:t>
            </w:r>
          </w:p>
        </w:tc>
        <w:tc>
          <w:tcPr>
            <w:tcW w:w="4259" w:type="pct"/>
            <w:shd w:val="clear" w:color="auto" w:fill="auto"/>
            <w:noWrap/>
            <w:vAlign w:val="bottom"/>
            <w:hideMark/>
          </w:tcPr>
          <w:p w:rsidRPr="007E54DC" w:rsidR="005F34F6" w:rsidP="005F34F6" w:rsidRDefault="005F34F6" w14:paraId="0F0C02C2"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Environmental Impact Assessment</w:t>
            </w:r>
          </w:p>
        </w:tc>
      </w:tr>
      <w:tr w:rsidRPr="007E54DC" w:rsidR="00536C51" w:rsidTr="23A59346" w14:paraId="17C36D58" w14:textId="77777777">
        <w:trPr>
          <w:trHeight w:val="300"/>
        </w:trPr>
        <w:tc>
          <w:tcPr>
            <w:tcW w:w="741" w:type="pct"/>
            <w:shd w:val="clear" w:color="auto" w:fill="auto"/>
            <w:noWrap/>
            <w:vAlign w:val="bottom"/>
          </w:tcPr>
          <w:p w:rsidRPr="007E54DC" w:rsidR="00536C51" w:rsidP="005F34F6" w:rsidRDefault="00536C51" w14:paraId="1906EF77" w14:textId="7D4189EE">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ESMS</w:t>
            </w:r>
          </w:p>
        </w:tc>
        <w:tc>
          <w:tcPr>
            <w:tcW w:w="4259" w:type="pct"/>
            <w:shd w:val="clear" w:color="auto" w:fill="auto"/>
            <w:noWrap/>
            <w:vAlign w:val="bottom"/>
          </w:tcPr>
          <w:p w:rsidRPr="007E54DC" w:rsidR="00536C51" w:rsidP="005F34F6" w:rsidRDefault="00536C51" w14:paraId="3A1D794E" w14:textId="3F4691CD">
            <w:pPr>
              <w:spacing w:after="0" w:line="240" w:lineRule="auto"/>
              <w:jc w:val="left"/>
              <w:rPr>
                <w:rFonts w:ascii="Calibri" w:hAnsi="Calibri" w:eastAsia="Times New Roman" w:cs="Calibri"/>
                <w:color w:val="000000"/>
                <w:lang w:eastAsia="en-GB"/>
              </w:rPr>
            </w:pPr>
            <w:r w:rsidRPr="007E54DC">
              <w:t>Environmental and Social Management System</w:t>
            </w:r>
          </w:p>
        </w:tc>
      </w:tr>
      <w:tr w:rsidRPr="007E54DC" w:rsidR="005F34F6" w:rsidTr="23A59346" w14:paraId="4FDDD016" w14:textId="77777777">
        <w:trPr>
          <w:trHeight w:val="300"/>
        </w:trPr>
        <w:tc>
          <w:tcPr>
            <w:tcW w:w="741" w:type="pct"/>
            <w:shd w:val="clear" w:color="auto" w:fill="auto"/>
            <w:noWrap/>
            <w:vAlign w:val="bottom"/>
            <w:hideMark/>
          </w:tcPr>
          <w:p w:rsidRPr="007E54DC" w:rsidR="005F34F6" w:rsidP="005F34F6" w:rsidRDefault="005F34F6" w14:paraId="5B6EE3B0"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FCDO</w:t>
            </w:r>
          </w:p>
        </w:tc>
        <w:tc>
          <w:tcPr>
            <w:tcW w:w="4259" w:type="pct"/>
            <w:shd w:val="clear" w:color="auto" w:fill="auto"/>
            <w:noWrap/>
            <w:vAlign w:val="bottom"/>
            <w:hideMark/>
          </w:tcPr>
          <w:p w:rsidRPr="007E54DC" w:rsidR="005F34F6" w:rsidP="005F34F6" w:rsidRDefault="005F34F6" w14:paraId="4821B306"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Foreign, Commonwealth and Development Office</w:t>
            </w:r>
          </w:p>
        </w:tc>
      </w:tr>
      <w:tr w:rsidRPr="007E54DC" w:rsidR="23A59346" w:rsidTr="23A59346" w14:paraId="200324CD" w14:textId="77777777">
        <w:trPr>
          <w:trHeight w:val="300"/>
        </w:trPr>
        <w:tc>
          <w:tcPr>
            <w:tcW w:w="1338" w:type="dxa"/>
            <w:shd w:val="clear" w:color="auto" w:fill="auto"/>
            <w:noWrap/>
            <w:vAlign w:val="bottom"/>
            <w:hideMark/>
          </w:tcPr>
          <w:p w:rsidRPr="007E54DC" w:rsidR="66D89E78" w:rsidP="23A59346" w:rsidRDefault="66D89E78" w14:paraId="4202C12A" w14:textId="0C842C2A">
            <w:pPr>
              <w:spacing w:line="240" w:lineRule="auto"/>
              <w:jc w:val="left"/>
              <w:rPr>
                <w:rFonts w:ascii="Calibri" w:hAnsi="Calibri" w:eastAsia="Times New Roman" w:cs="Calibri"/>
                <w:color w:val="000000" w:themeColor="text1"/>
                <w:lang w:eastAsia="en-GB"/>
              </w:rPr>
            </w:pPr>
            <w:r w:rsidRPr="007E54DC">
              <w:rPr>
                <w:rFonts w:ascii="Calibri" w:hAnsi="Calibri" w:eastAsia="Times New Roman" w:cs="Calibri"/>
                <w:color w:val="000000" w:themeColor="text1"/>
                <w:lang w:eastAsia="en-GB"/>
              </w:rPr>
              <w:t>GBF</w:t>
            </w:r>
          </w:p>
        </w:tc>
        <w:tc>
          <w:tcPr>
            <w:tcW w:w="7688" w:type="dxa"/>
            <w:shd w:val="clear" w:color="auto" w:fill="auto"/>
            <w:noWrap/>
            <w:vAlign w:val="bottom"/>
            <w:hideMark/>
          </w:tcPr>
          <w:p w:rsidRPr="00857311" w:rsidR="252E4780" w:rsidP="23A59346" w:rsidRDefault="252E4780" w14:paraId="1FB3115F" w14:textId="436E9535">
            <w:pPr>
              <w:spacing w:line="240" w:lineRule="auto"/>
              <w:jc w:val="left"/>
              <w:rPr>
                <w:rFonts w:ascii="Calibri" w:hAnsi="Calibri" w:eastAsia="Calibri" w:cs="Calibri"/>
                <w:color w:val="00483A"/>
              </w:rPr>
            </w:pPr>
            <w:r w:rsidRPr="00857311">
              <w:rPr>
                <w:rFonts w:ascii="Calibri" w:hAnsi="Calibri" w:eastAsia="Calibri" w:cs="Calibri"/>
              </w:rPr>
              <w:t>Kunming-Montreal Global Biodiversity Framework</w:t>
            </w:r>
          </w:p>
        </w:tc>
      </w:tr>
      <w:tr w:rsidRPr="007E54DC" w:rsidR="005F34F6" w:rsidTr="23A59346" w14:paraId="7D2EEF3B" w14:textId="77777777">
        <w:trPr>
          <w:trHeight w:val="300"/>
        </w:trPr>
        <w:tc>
          <w:tcPr>
            <w:tcW w:w="741" w:type="pct"/>
            <w:shd w:val="clear" w:color="auto" w:fill="auto"/>
            <w:noWrap/>
            <w:vAlign w:val="bottom"/>
            <w:hideMark/>
          </w:tcPr>
          <w:p w:rsidRPr="007E54DC" w:rsidR="005F34F6" w:rsidP="005F34F6" w:rsidRDefault="005F34F6" w14:paraId="0B84ACD8"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GCF</w:t>
            </w:r>
          </w:p>
        </w:tc>
        <w:tc>
          <w:tcPr>
            <w:tcW w:w="4259" w:type="pct"/>
            <w:shd w:val="clear" w:color="auto" w:fill="auto"/>
            <w:noWrap/>
            <w:vAlign w:val="bottom"/>
            <w:hideMark/>
          </w:tcPr>
          <w:p w:rsidRPr="007E54DC" w:rsidR="005F34F6" w:rsidP="005F34F6" w:rsidRDefault="005F34F6" w14:paraId="7BE78D91"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Green Climate Fund</w:t>
            </w:r>
          </w:p>
        </w:tc>
      </w:tr>
      <w:tr w:rsidRPr="007E54DC" w:rsidR="005F34F6" w:rsidTr="23A59346" w14:paraId="26E0A430" w14:textId="77777777">
        <w:trPr>
          <w:trHeight w:val="300"/>
        </w:trPr>
        <w:tc>
          <w:tcPr>
            <w:tcW w:w="741" w:type="pct"/>
            <w:shd w:val="clear" w:color="auto" w:fill="auto"/>
            <w:noWrap/>
            <w:vAlign w:val="bottom"/>
            <w:hideMark/>
          </w:tcPr>
          <w:p w:rsidRPr="007E54DC" w:rsidR="005F34F6" w:rsidP="005F34F6" w:rsidRDefault="005F34F6" w14:paraId="0C9C9882"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GFCR</w:t>
            </w:r>
          </w:p>
        </w:tc>
        <w:tc>
          <w:tcPr>
            <w:tcW w:w="4259" w:type="pct"/>
            <w:shd w:val="clear" w:color="auto" w:fill="auto"/>
            <w:noWrap/>
            <w:vAlign w:val="bottom"/>
            <w:hideMark/>
          </w:tcPr>
          <w:p w:rsidRPr="007E54DC" w:rsidR="005F34F6" w:rsidP="005F34F6" w:rsidRDefault="005F34F6" w14:paraId="6E936042"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Global Fund for Coral Reefs</w:t>
            </w:r>
          </w:p>
        </w:tc>
      </w:tr>
      <w:tr w:rsidRPr="007E54DC" w:rsidR="005F34F6" w:rsidTr="23A59346" w14:paraId="0B7539EC" w14:textId="77777777">
        <w:trPr>
          <w:trHeight w:val="300"/>
        </w:trPr>
        <w:tc>
          <w:tcPr>
            <w:tcW w:w="741" w:type="pct"/>
            <w:shd w:val="clear" w:color="auto" w:fill="auto"/>
            <w:noWrap/>
            <w:vAlign w:val="bottom"/>
            <w:hideMark/>
          </w:tcPr>
          <w:p w:rsidRPr="007E54DC" w:rsidR="005F34F6" w:rsidP="005F34F6" w:rsidRDefault="005F34F6" w14:paraId="1307819C"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Ha</w:t>
            </w:r>
          </w:p>
        </w:tc>
        <w:tc>
          <w:tcPr>
            <w:tcW w:w="4259" w:type="pct"/>
            <w:shd w:val="clear" w:color="auto" w:fill="auto"/>
            <w:noWrap/>
            <w:vAlign w:val="bottom"/>
            <w:hideMark/>
          </w:tcPr>
          <w:p w:rsidRPr="007E54DC" w:rsidR="005F34F6" w:rsidP="005F34F6" w:rsidRDefault="005F34F6" w14:paraId="2203EBAE"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Hectares</w:t>
            </w:r>
          </w:p>
        </w:tc>
      </w:tr>
      <w:tr w:rsidRPr="007E54DC" w:rsidR="005F34F6" w:rsidTr="23A59346" w14:paraId="5F750EC8" w14:textId="77777777">
        <w:trPr>
          <w:trHeight w:val="300"/>
        </w:trPr>
        <w:tc>
          <w:tcPr>
            <w:tcW w:w="741" w:type="pct"/>
            <w:shd w:val="clear" w:color="auto" w:fill="auto"/>
            <w:noWrap/>
            <w:vAlign w:val="bottom"/>
            <w:hideMark/>
          </w:tcPr>
          <w:p w:rsidRPr="007E54DC" w:rsidR="005F34F6" w:rsidP="005F34F6" w:rsidRDefault="005F34F6" w14:paraId="2B3BBFB1"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ICRI</w:t>
            </w:r>
          </w:p>
        </w:tc>
        <w:tc>
          <w:tcPr>
            <w:tcW w:w="4259" w:type="pct"/>
            <w:shd w:val="clear" w:color="auto" w:fill="auto"/>
            <w:noWrap/>
            <w:vAlign w:val="bottom"/>
            <w:hideMark/>
          </w:tcPr>
          <w:p w:rsidRPr="007E54DC" w:rsidR="005F34F6" w:rsidP="005F34F6" w:rsidRDefault="005F34F6" w14:paraId="2E35C28B"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International Coral Reef Initiative</w:t>
            </w:r>
          </w:p>
        </w:tc>
      </w:tr>
      <w:tr w:rsidRPr="007E54DC" w:rsidR="005F34F6" w:rsidTr="23A59346" w14:paraId="1D356024" w14:textId="77777777">
        <w:trPr>
          <w:trHeight w:val="300"/>
        </w:trPr>
        <w:tc>
          <w:tcPr>
            <w:tcW w:w="741" w:type="pct"/>
            <w:shd w:val="clear" w:color="auto" w:fill="auto"/>
            <w:noWrap/>
            <w:vAlign w:val="bottom"/>
            <w:hideMark/>
          </w:tcPr>
          <w:p w:rsidRPr="007E54DC" w:rsidR="005F34F6" w:rsidP="005F34F6" w:rsidRDefault="005F34F6" w14:paraId="28C50904"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KPI</w:t>
            </w:r>
          </w:p>
        </w:tc>
        <w:tc>
          <w:tcPr>
            <w:tcW w:w="4259" w:type="pct"/>
            <w:shd w:val="clear" w:color="auto" w:fill="auto"/>
            <w:noWrap/>
            <w:vAlign w:val="bottom"/>
            <w:hideMark/>
          </w:tcPr>
          <w:p w:rsidRPr="007E54DC" w:rsidR="005F34F6" w:rsidP="005F34F6" w:rsidRDefault="005F34F6" w14:paraId="29F7A9A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Key Performance Indicator</w:t>
            </w:r>
          </w:p>
        </w:tc>
      </w:tr>
      <w:tr w:rsidRPr="007E54DC" w:rsidR="005F34F6" w:rsidTr="23A59346" w14:paraId="3913E3FA" w14:textId="77777777">
        <w:trPr>
          <w:trHeight w:val="300"/>
        </w:trPr>
        <w:tc>
          <w:tcPr>
            <w:tcW w:w="741" w:type="pct"/>
            <w:shd w:val="clear" w:color="auto" w:fill="auto"/>
            <w:noWrap/>
            <w:vAlign w:val="bottom"/>
            <w:hideMark/>
          </w:tcPr>
          <w:p w:rsidRPr="007E54DC" w:rsidR="005F34F6" w:rsidP="005F34F6" w:rsidRDefault="005F34F6" w14:paraId="23B5F615"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LMMA</w:t>
            </w:r>
          </w:p>
        </w:tc>
        <w:tc>
          <w:tcPr>
            <w:tcW w:w="4259" w:type="pct"/>
            <w:shd w:val="clear" w:color="auto" w:fill="auto"/>
            <w:noWrap/>
            <w:vAlign w:val="bottom"/>
            <w:hideMark/>
          </w:tcPr>
          <w:p w:rsidRPr="007E54DC" w:rsidR="005F34F6" w:rsidP="005F34F6" w:rsidRDefault="005F34F6" w14:paraId="16AE5587"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Locally Managed Marine Area</w:t>
            </w:r>
          </w:p>
        </w:tc>
      </w:tr>
      <w:tr w:rsidRPr="007E54DC" w:rsidR="005F34F6" w:rsidTr="23A59346" w14:paraId="38B0B88E" w14:textId="77777777">
        <w:trPr>
          <w:trHeight w:val="300"/>
        </w:trPr>
        <w:tc>
          <w:tcPr>
            <w:tcW w:w="741" w:type="pct"/>
            <w:shd w:val="clear" w:color="auto" w:fill="auto"/>
            <w:noWrap/>
            <w:vAlign w:val="bottom"/>
            <w:hideMark/>
          </w:tcPr>
          <w:p w:rsidRPr="007E54DC" w:rsidR="005F34F6" w:rsidP="005F34F6" w:rsidRDefault="005F34F6" w14:paraId="4B1DAFA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M&amp;E</w:t>
            </w:r>
          </w:p>
        </w:tc>
        <w:tc>
          <w:tcPr>
            <w:tcW w:w="4259" w:type="pct"/>
            <w:shd w:val="clear" w:color="auto" w:fill="auto"/>
            <w:noWrap/>
            <w:vAlign w:val="bottom"/>
            <w:hideMark/>
          </w:tcPr>
          <w:p w:rsidRPr="007E54DC" w:rsidR="005F34F6" w:rsidP="005F34F6" w:rsidRDefault="005F34F6" w14:paraId="4CE99973"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Monitoring and Evaluation</w:t>
            </w:r>
          </w:p>
        </w:tc>
      </w:tr>
      <w:tr w:rsidRPr="007E54DC" w:rsidR="005F34F6" w:rsidTr="23A59346" w14:paraId="64984679" w14:textId="77777777">
        <w:trPr>
          <w:trHeight w:val="300"/>
        </w:trPr>
        <w:tc>
          <w:tcPr>
            <w:tcW w:w="741" w:type="pct"/>
            <w:shd w:val="clear" w:color="auto" w:fill="auto"/>
            <w:noWrap/>
            <w:vAlign w:val="bottom"/>
            <w:hideMark/>
          </w:tcPr>
          <w:p w:rsidRPr="007E54DC" w:rsidR="005F34F6" w:rsidP="005F34F6" w:rsidRDefault="005F34F6" w14:paraId="6EA4E903"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MDB</w:t>
            </w:r>
          </w:p>
        </w:tc>
        <w:tc>
          <w:tcPr>
            <w:tcW w:w="4259" w:type="pct"/>
            <w:shd w:val="clear" w:color="auto" w:fill="auto"/>
            <w:noWrap/>
            <w:vAlign w:val="bottom"/>
            <w:hideMark/>
          </w:tcPr>
          <w:p w:rsidRPr="007E54DC" w:rsidR="005F34F6" w:rsidP="005F34F6" w:rsidRDefault="005F34F6" w14:paraId="478C1897"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Multilateral Development Bank</w:t>
            </w:r>
          </w:p>
        </w:tc>
      </w:tr>
      <w:tr w:rsidRPr="007E54DC" w:rsidR="005F34F6" w:rsidTr="23A59346" w14:paraId="3C29FE9C" w14:textId="77777777">
        <w:trPr>
          <w:trHeight w:val="300"/>
        </w:trPr>
        <w:tc>
          <w:tcPr>
            <w:tcW w:w="741" w:type="pct"/>
            <w:shd w:val="clear" w:color="auto" w:fill="auto"/>
            <w:noWrap/>
            <w:vAlign w:val="bottom"/>
            <w:hideMark/>
          </w:tcPr>
          <w:p w:rsidRPr="007E54DC" w:rsidR="005F34F6" w:rsidP="005F34F6" w:rsidRDefault="005F34F6" w14:paraId="40D48632"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MEL</w:t>
            </w:r>
          </w:p>
        </w:tc>
        <w:tc>
          <w:tcPr>
            <w:tcW w:w="4259" w:type="pct"/>
            <w:shd w:val="clear" w:color="auto" w:fill="auto"/>
            <w:noWrap/>
            <w:vAlign w:val="bottom"/>
            <w:hideMark/>
          </w:tcPr>
          <w:p w:rsidRPr="007E54DC" w:rsidR="005F34F6" w:rsidP="005F34F6" w:rsidRDefault="005F34F6" w14:paraId="342CF7C5"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Monitoring, Evaluation and Learning</w:t>
            </w:r>
          </w:p>
        </w:tc>
      </w:tr>
      <w:tr w:rsidRPr="007E54DC" w:rsidR="005F34F6" w:rsidTr="23A59346" w14:paraId="43C0C468" w14:textId="77777777">
        <w:trPr>
          <w:trHeight w:val="300"/>
        </w:trPr>
        <w:tc>
          <w:tcPr>
            <w:tcW w:w="741" w:type="pct"/>
            <w:shd w:val="clear" w:color="auto" w:fill="auto"/>
            <w:noWrap/>
            <w:vAlign w:val="bottom"/>
            <w:hideMark/>
          </w:tcPr>
          <w:p w:rsidRPr="007E54DC" w:rsidR="005F34F6" w:rsidP="005F34F6" w:rsidRDefault="005F34F6" w14:paraId="3219696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MPA</w:t>
            </w:r>
          </w:p>
        </w:tc>
        <w:tc>
          <w:tcPr>
            <w:tcW w:w="4259" w:type="pct"/>
            <w:shd w:val="clear" w:color="auto" w:fill="auto"/>
            <w:noWrap/>
            <w:vAlign w:val="bottom"/>
            <w:hideMark/>
          </w:tcPr>
          <w:p w:rsidRPr="007E54DC" w:rsidR="005F34F6" w:rsidP="005F34F6" w:rsidRDefault="005F34F6" w14:paraId="13EE9B19"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Marine Protected Area</w:t>
            </w:r>
          </w:p>
        </w:tc>
      </w:tr>
      <w:tr w:rsidRPr="007E54DC" w:rsidR="005F34F6" w:rsidTr="23A59346" w14:paraId="7A59A318" w14:textId="77777777">
        <w:trPr>
          <w:trHeight w:val="300"/>
        </w:trPr>
        <w:tc>
          <w:tcPr>
            <w:tcW w:w="741" w:type="pct"/>
            <w:shd w:val="clear" w:color="auto" w:fill="auto"/>
            <w:noWrap/>
            <w:vAlign w:val="bottom"/>
            <w:hideMark/>
          </w:tcPr>
          <w:p w:rsidRPr="007E54DC" w:rsidR="005F34F6" w:rsidP="005F34F6" w:rsidRDefault="005F34F6" w14:paraId="553B97B5"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MPTF</w:t>
            </w:r>
          </w:p>
        </w:tc>
        <w:tc>
          <w:tcPr>
            <w:tcW w:w="4259" w:type="pct"/>
            <w:shd w:val="clear" w:color="auto" w:fill="auto"/>
            <w:noWrap/>
            <w:vAlign w:val="bottom"/>
            <w:hideMark/>
          </w:tcPr>
          <w:p w:rsidRPr="007E54DC" w:rsidR="005F34F6" w:rsidP="005F34F6" w:rsidRDefault="005F34F6" w14:paraId="6A37D0FE"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Multi Partner Trust Fund</w:t>
            </w:r>
          </w:p>
        </w:tc>
      </w:tr>
      <w:tr w:rsidRPr="007E54DC" w:rsidR="005F34F6" w:rsidTr="23A59346" w14:paraId="2F4C84F4" w14:textId="77777777">
        <w:trPr>
          <w:trHeight w:val="300"/>
        </w:trPr>
        <w:tc>
          <w:tcPr>
            <w:tcW w:w="741" w:type="pct"/>
            <w:shd w:val="clear" w:color="auto" w:fill="auto"/>
            <w:noWrap/>
            <w:vAlign w:val="bottom"/>
            <w:hideMark/>
          </w:tcPr>
          <w:p w:rsidRPr="007E54DC" w:rsidR="005F34F6" w:rsidP="005F34F6" w:rsidRDefault="005F34F6" w14:paraId="5BD2D577"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NGO</w:t>
            </w:r>
          </w:p>
        </w:tc>
        <w:tc>
          <w:tcPr>
            <w:tcW w:w="4259" w:type="pct"/>
            <w:shd w:val="clear" w:color="auto" w:fill="auto"/>
            <w:noWrap/>
            <w:vAlign w:val="bottom"/>
            <w:hideMark/>
          </w:tcPr>
          <w:p w:rsidRPr="007E54DC" w:rsidR="005F34F6" w:rsidP="005F34F6" w:rsidRDefault="005F34F6" w14:paraId="425418E9"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Non-Governmental Organisation</w:t>
            </w:r>
          </w:p>
        </w:tc>
      </w:tr>
      <w:tr w:rsidRPr="007E54DC" w:rsidR="005F34F6" w:rsidTr="23A59346" w14:paraId="62CFF0EF" w14:textId="77777777">
        <w:trPr>
          <w:trHeight w:val="300"/>
        </w:trPr>
        <w:tc>
          <w:tcPr>
            <w:tcW w:w="741" w:type="pct"/>
            <w:shd w:val="clear" w:color="auto" w:fill="auto"/>
            <w:noWrap/>
            <w:vAlign w:val="bottom"/>
            <w:hideMark/>
          </w:tcPr>
          <w:p w:rsidRPr="007E54DC" w:rsidR="005F34F6" w:rsidP="005F34F6" w:rsidRDefault="005F34F6" w14:paraId="2595441B"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ODA</w:t>
            </w:r>
          </w:p>
        </w:tc>
        <w:tc>
          <w:tcPr>
            <w:tcW w:w="4259" w:type="pct"/>
            <w:shd w:val="clear" w:color="auto" w:fill="auto"/>
            <w:noWrap/>
            <w:vAlign w:val="bottom"/>
            <w:hideMark/>
          </w:tcPr>
          <w:p w:rsidRPr="007E54DC" w:rsidR="005F34F6" w:rsidP="005F34F6" w:rsidRDefault="005F34F6" w14:paraId="6A6293E0"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Official Development Assistance</w:t>
            </w:r>
          </w:p>
        </w:tc>
      </w:tr>
      <w:tr w:rsidRPr="007E54DC" w:rsidR="005F34F6" w:rsidTr="23A59346" w14:paraId="4004C1CF" w14:textId="77777777">
        <w:trPr>
          <w:trHeight w:val="300"/>
        </w:trPr>
        <w:tc>
          <w:tcPr>
            <w:tcW w:w="741" w:type="pct"/>
            <w:shd w:val="clear" w:color="auto" w:fill="auto"/>
            <w:noWrap/>
            <w:vAlign w:val="bottom"/>
            <w:hideMark/>
          </w:tcPr>
          <w:p w:rsidRPr="007E54DC" w:rsidR="005F34F6" w:rsidP="005F34F6" w:rsidRDefault="005F34F6" w14:paraId="5E5AE4A1"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OECM</w:t>
            </w:r>
          </w:p>
        </w:tc>
        <w:tc>
          <w:tcPr>
            <w:tcW w:w="4259" w:type="pct"/>
            <w:shd w:val="clear" w:color="auto" w:fill="auto"/>
            <w:noWrap/>
            <w:vAlign w:val="bottom"/>
            <w:hideMark/>
          </w:tcPr>
          <w:p w:rsidRPr="007E54DC" w:rsidR="005F34F6" w:rsidP="005F34F6" w:rsidRDefault="005F34F6" w14:paraId="6001CC3A"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Other Effective Conservation Measures</w:t>
            </w:r>
          </w:p>
        </w:tc>
      </w:tr>
      <w:tr w:rsidRPr="007E54DC" w:rsidR="68054C4F" w:rsidTr="23A59346" w14:paraId="1CB43772" w14:textId="77777777">
        <w:trPr>
          <w:trHeight w:val="351"/>
        </w:trPr>
        <w:tc>
          <w:tcPr>
            <w:tcW w:w="1338" w:type="dxa"/>
            <w:shd w:val="clear" w:color="auto" w:fill="auto"/>
            <w:noWrap/>
            <w:vAlign w:val="bottom"/>
            <w:hideMark/>
          </w:tcPr>
          <w:p w:rsidRPr="007E54DC" w:rsidR="0E828CFC" w:rsidP="00FD06CC" w:rsidRDefault="0E828CFC" w14:paraId="097F6352" w14:textId="1AF42F4B">
            <w:pPr>
              <w:spacing w:after="0" w:line="240" w:lineRule="auto"/>
              <w:jc w:val="left"/>
              <w:rPr>
                <w:rFonts w:ascii="Calibri" w:hAnsi="Calibri" w:eastAsia="Times New Roman" w:cs="Calibri"/>
                <w:lang w:eastAsia="en-GB"/>
              </w:rPr>
            </w:pPr>
            <w:r w:rsidRPr="007E54DC">
              <w:rPr>
                <w:rFonts w:ascii="Calibri" w:hAnsi="Calibri" w:eastAsia="Times New Roman" w:cs="Calibri"/>
                <w:lang w:eastAsia="en-GB"/>
              </w:rPr>
              <w:t>OECD</w:t>
            </w:r>
          </w:p>
        </w:tc>
        <w:tc>
          <w:tcPr>
            <w:tcW w:w="7688" w:type="dxa"/>
            <w:shd w:val="clear" w:color="auto" w:fill="auto"/>
            <w:noWrap/>
            <w:vAlign w:val="bottom"/>
            <w:hideMark/>
          </w:tcPr>
          <w:p w:rsidRPr="007E54DC" w:rsidR="0E828CFC" w:rsidP="00FD06CC" w:rsidRDefault="0E828CFC" w14:paraId="6FC474D5" w14:textId="65424AEB">
            <w:pPr>
              <w:spacing w:after="0" w:line="240" w:lineRule="auto"/>
              <w:jc w:val="left"/>
              <w:rPr>
                <w:rFonts w:eastAsiaTheme="minorEastAsia"/>
              </w:rPr>
            </w:pPr>
            <w:r w:rsidRPr="007E54DC">
              <w:rPr>
                <w:rFonts w:eastAsiaTheme="minorEastAsia"/>
                <w:sz w:val="21"/>
                <w:szCs w:val="21"/>
              </w:rPr>
              <w:t>The Organization for Economic Cooperation and Development</w:t>
            </w:r>
          </w:p>
        </w:tc>
      </w:tr>
      <w:tr w:rsidRPr="007E54DC" w:rsidR="005F34F6" w:rsidTr="23A59346" w14:paraId="56B9FEF1" w14:textId="77777777">
        <w:trPr>
          <w:trHeight w:val="300"/>
        </w:trPr>
        <w:tc>
          <w:tcPr>
            <w:tcW w:w="741" w:type="pct"/>
            <w:shd w:val="clear" w:color="auto" w:fill="auto"/>
            <w:noWrap/>
            <w:vAlign w:val="bottom"/>
            <w:hideMark/>
          </w:tcPr>
          <w:p w:rsidRPr="007E54DC" w:rsidR="005F34F6" w:rsidP="005F34F6" w:rsidRDefault="005F34F6" w14:paraId="118BFBE4"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ORRAA</w:t>
            </w:r>
          </w:p>
        </w:tc>
        <w:tc>
          <w:tcPr>
            <w:tcW w:w="4259" w:type="pct"/>
            <w:shd w:val="clear" w:color="auto" w:fill="auto"/>
            <w:noWrap/>
            <w:vAlign w:val="bottom"/>
            <w:hideMark/>
          </w:tcPr>
          <w:p w:rsidRPr="007E54DC" w:rsidR="005F34F6" w:rsidP="005F34F6" w:rsidRDefault="005F34F6" w14:paraId="424B1D90"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Ocean Risk and Resilience Action Alliance</w:t>
            </w:r>
          </w:p>
        </w:tc>
      </w:tr>
      <w:tr w:rsidRPr="007E54DC" w:rsidR="009917FA" w:rsidTr="23A59346" w14:paraId="212FF093" w14:textId="77777777">
        <w:trPr>
          <w:trHeight w:val="300"/>
        </w:trPr>
        <w:tc>
          <w:tcPr>
            <w:tcW w:w="741" w:type="pct"/>
            <w:shd w:val="clear" w:color="auto" w:fill="auto"/>
            <w:noWrap/>
            <w:vAlign w:val="bottom"/>
          </w:tcPr>
          <w:p w:rsidRPr="007E54DC" w:rsidR="009917FA" w:rsidP="005F34F6" w:rsidRDefault="009917FA" w14:paraId="589F0AED" w14:textId="13E4B730">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PGAFF</w:t>
            </w:r>
          </w:p>
        </w:tc>
        <w:tc>
          <w:tcPr>
            <w:tcW w:w="4259" w:type="pct"/>
            <w:shd w:val="clear" w:color="auto" w:fill="auto"/>
            <w:noWrap/>
            <w:vAlign w:val="bottom"/>
          </w:tcPr>
          <w:p w:rsidRPr="007E54DC" w:rsidR="009917FA" w:rsidP="005F34F6" w:rsidRDefault="009917FA" w14:paraId="68730FBF" w14:textId="494BB7C2">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Paul G. Allen Family Foundation</w:t>
            </w:r>
          </w:p>
        </w:tc>
      </w:tr>
      <w:tr w:rsidRPr="007E54DC" w:rsidR="005F34F6" w:rsidTr="23A59346" w14:paraId="310B1C73" w14:textId="77777777">
        <w:trPr>
          <w:trHeight w:val="300"/>
        </w:trPr>
        <w:tc>
          <w:tcPr>
            <w:tcW w:w="741" w:type="pct"/>
            <w:shd w:val="clear" w:color="auto" w:fill="auto"/>
            <w:noWrap/>
            <w:vAlign w:val="bottom"/>
            <w:hideMark/>
          </w:tcPr>
          <w:p w:rsidRPr="007E54DC" w:rsidR="005F34F6" w:rsidP="005F34F6" w:rsidRDefault="005F34F6" w14:paraId="38765764" w14:textId="77777777">
            <w:pPr>
              <w:spacing w:after="0" w:line="240" w:lineRule="auto"/>
              <w:jc w:val="left"/>
              <w:rPr>
                <w:rFonts w:ascii="Calibri" w:hAnsi="Calibri" w:eastAsia="Times New Roman" w:cs="Calibri"/>
                <w:color w:val="000000"/>
                <w:lang w:eastAsia="en-GB"/>
              </w:rPr>
            </w:pPr>
            <w:proofErr w:type="spellStart"/>
            <w:r w:rsidRPr="007E54DC">
              <w:rPr>
                <w:rFonts w:ascii="Calibri" w:hAnsi="Calibri" w:eastAsia="Times New Roman" w:cs="Calibri"/>
                <w:color w:val="000000"/>
                <w:lang w:eastAsia="en-GB"/>
              </w:rPr>
              <w:t>PrOF</w:t>
            </w:r>
            <w:proofErr w:type="spellEnd"/>
          </w:p>
        </w:tc>
        <w:tc>
          <w:tcPr>
            <w:tcW w:w="4259" w:type="pct"/>
            <w:shd w:val="clear" w:color="auto" w:fill="auto"/>
            <w:noWrap/>
            <w:vAlign w:val="bottom"/>
            <w:hideMark/>
          </w:tcPr>
          <w:p w:rsidRPr="007E54DC" w:rsidR="005F34F6" w:rsidP="005F34F6" w:rsidRDefault="005F34F6" w14:paraId="2F036A20"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Programme Operating Framework</w:t>
            </w:r>
          </w:p>
        </w:tc>
      </w:tr>
      <w:tr w:rsidRPr="007E54DC" w:rsidR="005F34F6" w:rsidTr="23A59346" w14:paraId="387CEB1E" w14:textId="77777777">
        <w:trPr>
          <w:trHeight w:val="300"/>
        </w:trPr>
        <w:tc>
          <w:tcPr>
            <w:tcW w:w="741" w:type="pct"/>
            <w:shd w:val="clear" w:color="auto" w:fill="auto"/>
            <w:noWrap/>
            <w:vAlign w:val="bottom"/>
            <w:hideMark/>
          </w:tcPr>
          <w:p w:rsidRPr="007E54DC" w:rsidR="005F34F6" w:rsidP="005F34F6" w:rsidRDefault="005F34F6" w14:paraId="124F44EB"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RPA</w:t>
            </w:r>
          </w:p>
        </w:tc>
        <w:tc>
          <w:tcPr>
            <w:tcW w:w="4259" w:type="pct"/>
            <w:shd w:val="clear" w:color="auto" w:fill="auto"/>
            <w:noWrap/>
            <w:vAlign w:val="bottom"/>
            <w:hideMark/>
          </w:tcPr>
          <w:p w:rsidRPr="007E54DC" w:rsidR="005F34F6" w:rsidP="005F34F6" w:rsidRDefault="005F34F6" w14:paraId="06139662"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Risk Potential Assessment</w:t>
            </w:r>
          </w:p>
        </w:tc>
      </w:tr>
      <w:tr w:rsidRPr="007E54DC" w:rsidR="005F34F6" w:rsidTr="23A59346" w14:paraId="2DE33C2A" w14:textId="77777777">
        <w:trPr>
          <w:trHeight w:val="300"/>
        </w:trPr>
        <w:tc>
          <w:tcPr>
            <w:tcW w:w="741" w:type="pct"/>
            <w:shd w:val="clear" w:color="auto" w:fill="auto"/>
            <w:noWrap/>
            <w:vAlign w:val="bottom"/>
            <w:hideMark/>
          </w:tcPr>
          <w:p w:rsidRPr="007E54DC" w:rsidR="005F34F6" w:rsidP="005F34F6" w:rsidRDefault="005F34F6" w14:paraId="2B54BC9C"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SAA</w:t>
            </w:r>
          </w:p>
        </w:tc>
        <w:tc>
          <w:tcPr>
            <w:tcW w:w="4259" w:type="pct"/>
            <w:shd w:val="clear" w:color="auto" w:fill="auto"/>
            <w:noWrap/>
            <w:vAlign w:val="bottom"/>
            <w:hideMark/>
          </w:tcPr>
          <w:p w:rsidRPr="007E54DC" w:rsidR="005F34F6" w:rsidP="005F34F6" w:rsidRDefault="005F34F6" w14:paraId="6CD476EC"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Standard Administrative Agreement</w:t>
            </w:r>
          </w:p>
        </w:tc>
      </w:tr>
      <w:tr w:rsidRPr="007E54DC" w:rsidR="00422AB4" w:rsidTr="23A59346" w14:paraId="3A1A06B2" w14:textId="77777777">
        <w:trPr>
          <w:trHeight w:val="300"/>
        </w:trPr>
        <w:tc>
          <w:tcPr>
            <w:tcW w:w="741" w:type="pct"/>
            <w:shd w:val="clear" w:color="auto" w:fill="auto"/>
            <w:noWrap/>
            <w:vAlign w:val="bottom"/>
          </w:tcPr>
          <w:p w:rsidRPr="007E54DC" w:rsidR="00422AB4" w:rsidP="005F34F6" w:rsidRDefault="00422AB4" w14:paraId="5D8676A2" w14:textId="03F3C608">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STAG</w:t>
            </w:r>
          </w:p>
        </w:tc>
        <w:tc>
          <w:tcPr>
            <w:tcW w:w="4259" w:type="pct"/>
            <w:shd w:val="clear" w:color="auto" w:fill="auto"/>
            <w:noWrap/>
            <w:vAlign w:val="bottom"/>
          </w:tcPr>
          <w:p w:rsidRPr="007E54DC" w:rsidR="00422AB4" w:rsidP="005F34F6" w:rsidRDefault="00422AB4" w14:paraId="0A820C2E" w14:textId="3A00D37C">
            <w:pPr>
              <w:spacing w:after="0" w:line="240" w:lineRule="auto"/>
              <w:jc w:val="left"/>
              <w:rPr>
                <w:rFonts w:ascii="Calibri" w:hAnsi="Calibri" w:eastAsia="Times New Roman" w:cs="Calibri"/>
                <w:color w:val="000000"/>
                <w:lang w:eastAsia="en-GB"/>
              </w:rPr>
            </w:pPr>
            <w:r w:rsidRPr="007E54DC">
              <w:t>Scientific and Technical Advisory Group</w:t>
            </w:r>
          </w:p>
        </w:tc>
      </w:tr>
      <w:tr w:rsidRPr="007E54DC" w:rsidR="005F34F6" w:rsidTr="23A59346" w14:paraId="4FB2ABAE" w14:textId="77777777">
        <w:trPr>
          <w:trHeight w:val="300"/>
        </w:trPr>
        <w:tc>
          <w:tcPr>
            <w:tcW w:w="741" w:type="pct"/>
            <w:shd w:val="clear" w:color="auto" w:fill="auto"/>
            <w:noWrap/>
            <w:vAlign w:val="bottom"/>
            <w:hideMark/>
          </w:tcPr>
          <w:p w:rsidRPr="007E54DC" w:rsidR="005F34F6" w:rsidP="005F34F6" w:rsidRDefault="005F34F6" w14:paraId="0187D7A0"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SES</w:t>
            </w:r>
          </w:p>
        </w:tc>
        <w:tc>
          <w:tcPr>
            <w:tcW w:w="4259" w:type="pct"/>
            <w:shd w:val="clear" w:color="auto" w:fill="auto"/>
            <w:noWrap/>
            <w:vAlign w:val="bottom"/>
            <w:hideMark/>
          </w:tcPr>
          <w:p w:rsidRPr="007E54DC" w:rsidR="005F34F6" w:rsidP="005F34F6" w:rsidRDefault="005F34F6" w14:paraId="5367C9B9"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Social and Environmental Standards</w:t>
            </w:r>
          </w:p>
        </w:tc>
      </w:tr>
      <w:tr w:rsidRPr="007E54DC" w:rsidR="005F34F6" w:rsidTr="23A59346" w14:paraId="1586F23C" w14:textId="77777777">
        <w:trPr>
          <w:trHeight w:val="300"/>
        </w:trPr>
        <w:tc>
          <w:tcPr>
            <w:tcW w:w="741" w:type="pct"/>
            <w:shd w:val="clear" w:color="auto" w:fill="auto"/>
            <w:noWrap/>
            <w:vAlign w:val="bottom"/>
            <w:hideMark/>
          </w:tcPr>
          <w:p w:rsidRPr="007E54DC" w:rsidR="005F34F6" w:rsidP="005F34F6" w:rsidRDefault="005F34F6" w14:paraId="1470FF9D"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SIDS</w:t>
            </w:r>
          </w:p>
        </w:tc>
        <w:tc>
          <w:tcPr>
            <w:tcW w:w="4259" w:type="pct"/>
            <w:shd w:val="clear" w:color="auto" w:fill="auto"/>
            <w:noWrap/>
            <w:vAlign w:val="bottom"/>
            <w:hideMark/>
          </w:tcPr>
          <w:p w:rsidRPr="007E54DC" w:rsidR="005F34F6" w:rsidP="005F34F6" w:rsidRDefault="005F34F6" w14:paraId="4E0AF5DD"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Small Island Developing States</w:t>
            </w:r>
          </w:p>
        </w:tc>
      </w:tr>
      <w:tr w:rsidRPr="007E54DC" w:rsidR="005F34F6" w:rsidTr="23A59346" w14:paraId="5A6446A5" w14:textId="77777777">
        <w:trPr>
          <w:trHeight w:val="300"/>
        </w:trPr>
        <w:tc>
          <w:tcPr>
            <w:tcW w:w="741" w:type="pct"/>
            <w:shd w:val="clear" w:color="auto" w:fill="auto"/>
            <w:noWrap/>
            <w:vAlign w:val="bottom"/>
            <w:hideMark/>
          </w:tcPr>
          <w:p w:rsidRPr="007E54DC" w:rsidR="005F34F6" w:rsidP="005F34F6" w:rsidRDefault="005F34F6" w14:paraId="75079E31" w14:textId="77777777">
            <w:pPr>
              <w:spacing w:after="0" w:line="240" w:lineRule="auto"/>
              <w:jc w:val="left"/>
              <w:rPr>
                <w:rFonts w:ascii="Calibri" w:hAnsi="Calibri" w:eastAsia="Times New Roman" w:cs="Calibri"/>
                <w:color w:val="000000"/>
                <w:lang w:eastAsia="en-GB"/>
              </w:rPr>
            </w:pPr>
            <w:proofErr w:type="spellStart"/>
            <w:r w:rsidRPr="007E54DC">
              <w:rPr>
                <w:rFonts w:ascii="Calibri" w:hAnsi="Calibri" w:eastAsia="Times New Roman" w:cs="Calibri"/>
                <w:color w:val="000000"/>
                <w:lang w:eastAsia="en-GB"/>
              </w:rPr>
              <w:t>ToC</w:t>
            </w:r>
            <w:proofErr w:type="spellEnd"/>
          </w:p>
        </w:tc>
        <w:tc>
          <w:tcPr>
            <w:tcW w:w="4259" w:type="pct"/>
            <w:shd w:val="clear" w:color="auto" w:fill="auto"/>
            <w:noWrap/>
            <w:vAlign w:val="bottom"/>
            <w:hideMark/>
          </w:tcPr>
          <w:p w:rsidRPr="007E54DC" w:rsidR="005F34F6" w:rsidP="005F34F6" w:rsidRDefault="005F34F6" w14:paraId="404CB90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Theory of Change</w:t>
            </w:r>
          </w:p>
        </w:tc>
      </w:tr>
      <w:tr w:rsidRPr="007E54DC" w:rsidR="005F34F6" w:rsidTr="23A59346" w14:paraId="25E29E5D" w14:textId="77777777">
        <w:trPr>
          <w:trHeight w:val="300"/>
        </w:trPr>
        <w:tc>
          <w:tcPr>
            <w:tcW w:w="741" w:type="pct"/>
            <w:shd w:val="clear" w:color="auto" w:fill="auto"/>
            <w:noWrap/>
            <w:vAlign w:val="bottom"/>
            <w:hideMark/>
          </w:tcPr>
          <w:p w:rsidRPr="007E54DC" w:rsidR="005F34F6" w:rsidP="005F34F6" w:rsidRDefault="005F34F6" w14:paraId="53F70BB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TOR</w:t>
            </w:r>
          </w:p>
        </w:tc>
        <w:tc>
          <w:tcPr>
            <w:tcW w:w="4259" w:type="pct"/>
            <w:shd w:val="clear" w:color="auto" w:fill="auto"/>
            <w:noWrap/>
            <w:vAlign w:val="bottom"/>
            <w:hideMark/>
          </w:tcPr>
          <w:p w:rsidRPr="007E54DC" w:rsidR="005F34F6" w:rsidP="005F34F6" w:rsidRDefault="005F34F6" w14:paraId="478A7621"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Terms of Reference</w:t>
            </w:r>
          </w:p>
        </w:tc>
      </w:tr>
      <w:tr w:rsidRPr="007E54DC" w:rsidR="005F34F6" w:rsidTr="23A59346" w14:paraId="19683DB9" w14:textId="77777777">
        <w:trPr>
          <w:trHeight w:val="300"/>
        </w:trPr>
        <w:tc>
          <w:tcPr>
            <w:tcW w:w="741" w:type="pct"/>
            <w:shd w:val="clear" w:color="auto" w:fill="auto"/>
            <w:noWrap/>
            <w:vAlign w:val="bottom"/>
            <w:hideMark/>
          </w:tcPr>
          <w:p w:rsidRPr="007E54DC" w:rsidR="005F34F6" w:rsidP="005F34F6" w:rsidRDefault="005F34F6" w14:paraId="01E22F7A"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UNDP</w:t>
            </w:r>
          </w:p>
        </w:tc>
        <w:tc>
          <w:tcPr>
            <w:tcW w:w="4259" w:type="pct"/>
            <w:shd w:val="clear" w:color="auto" w:fill="auto"/>
            <w:noWrap/>
            <w:vAlign w:val="bottom"/>
            <w:hideMark/>
          </w:tcPr>
          <w:p w:rsidRPr="007E54DC" w:rsidR="005F34F6" w:rsidP="005F34F6" w:rsidRDefault="005F34F6" w14:paraId="5D441F0E"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United Nations Development Programme</w:t>
            </w:r>
          </w:p>
        </w:tc>
      </w:tr>
    </w:tbl>
    <w:p w:rsidRPr="007E54DC" w:rsidR="00681AFB" w:rsidP="00681AFB" w:rsidRDefault="00681AFB" w14:paraId="6B9868E4" w14:textId="77777777"/>
    <w:p w:rsidRPr="007E54DC" w:rsidR="00FD06CC" w:rsidRDefault="00FD06CC" w14:paraId="32375607" w14:textId="44589DC0">
      <w:pPr>
        <w:spacing w:after="160" w:line="259" w:lineRule="auto"/>
        <w:jc w:val="left"/>
      </w:pPr>
      <w:r w:rsidRPr="007E54DC">
        <w:br w:type="page"/>
      </w:r>
    </w:p>
    <w:p w:rsidRPr="007E54DC" w:rsidR="004F3C60" w:rsidP="00FD06CC" w:rsidRDefault="00FD06CC" w14:paraId="490F89FA" w14:textId="464AAB99" w14:noSpellErr="1">
      <w:pPr>
        <w:pStyle w:val="Heading1"/>
        <w:rPr/>
      </w:pPr>
      <w:bookmarkStart w:name="_Toc1127650727" w:id="512325576"/>
      <w:r w:rsidR="00FD06CC">
        <w:rPr/>
        <w:t>Executive Summary</w:t>
      </w:r>
      <w:bookmarkEnd w:id="512325576"/>
    </w:p>
    <w:p w:rsidRPr="007E54DC" w:rsidR="004F3C60" w:rsidP="004F3C60" w:rsidRDefault="004F3C60" w14:paraId="3C222A37" w14:textId="55335209">
      <w:r w:rsidRPr="007E54DC">
        <w:t xml:space="preserve">The </w:t>
      </w:r>
      <w:r w:rsidRPr="007E54DC" w:rsidR="00FD06CC">
        <w:t>Global Fund for Coral Reefs (</w:t>
      </w:r>
      <w:r w:rsidRPr="007E54DC">
        <w:t>GFCR</w:t>
      </w:r>
      <w:r w:rsidRPr="007E54DC" w:rsidR="00FD06CC">
        <w:t>)</w:t>
      </w:r>
      <w:r w:rsidRPr="007E54DC">
        <w:t xml:space="preserve"> is a blended finance instrument first established in September 2020. It </w:t>
      </w:r>
      <w:r w:rsidRPr="007E54DC">
        <w:rPr>
          <w:rStyle w:val="normaltextrun"/>
          <w:rFonts w:ascii="Calibri" w:hAnsi="Calibri" w:cs="Calibri"/>
          <w:shd w:val="clear" w:color="auto" w:fill="FFFFFF"/>
        </w:rPr>
        <w:t xml:space="preserve">integrates public and private grants and investments </w:t>
      </w:r>
      <w:r w:rsidRPr="007E54DC">
        <w:t xml:space="preserve">to mobilise action and resources to protect and restore coral reef ecosystems, in addition to supporting the communities who depend on them. </w:t>
      </w:r>
    </w:p>
    <w:p w:rsidRPr="007E54DC" w:rsidR="004F3C60" w:rsidP="004F3C60" w:rsidRDefault="004F3C60" w14:paraId="05BA66B6" w14:textId="58472E0E">
      <w:pPr>
        <w:rPr>
          <w:color w:val="000000" w:themeColor="text1"/>
        </w:rPr>
      </w:pPr>
      <w:r w:rsidRPr="007E54DC">
        <w:rPr>
          <w:rFonts w:eastAsiaTheme="minorEastAsia"/>
          <w:color w:val="000000" w:themeColor="text1"/>
        </w:rPr>
        <w:t xml:space="preserve">Defra's £310m </w:t>
      </w:r>
      <w:r w:rsidRPr="007E54DC" w:rsidR="00FD06CC">
        <w:rPr>
          <w:rFonts w:eastAsiaTheme="minorEastAsia"/>
          <w:color w:val="000000" w:themeColor="text1"/>
        </w:rPr>
        <w:t xml:space="preserve">Blue Planet Fund (BPF) </w:t>
      </w:r>
      <w:r w:rsidRPr="007E54DC">
        <w:rPr>
          <w:rFonts w:eastAsiaTheme="minorEastAsia"/>
          <w:color w:val="000000" w:themeColor="text1"/>
        </w:rPr>
        <w:t>allocation f</w:t>
      </w:r>
      <w:r w:rsidRPr="007E54DC">
        <w:rPr>
          <w:color w:val="000000" w:themeColor="text1"/>
        </w:rPr>
        <w:t xml:space="preserve">or </w:t>
      </w:r>
      <w:r w:rsidRPr="007E54DC">
        <w:t xml:space="preserve">the 5-year lifetime of the </w:t>
      </w:r>
      <w:r w:rsidRPr="007E54DC" w:rsidR="00FD06CC">
        <w:t xml:space="preserve">Fund </w:t>
      </w:r>
      <w:r w:rsidRPr="007E54DC">
        <w:t>is</w:t>
      </w:r>
      <w:r w:rsidRPr="007E54DC" w:rsidR="00FD06CC">
        <w:t xml:space="preserve"> </w:t>
      </w:r>
      <w:r w:rsidRPr="007E54DC">
        <w:t>now in pipeline or pre-pipeline stage. Under our BPF portfolio and following HMT approval at SR21 “</w:t>
      </w:r>
      <w:r w:rsidRPr="007E54DC">
        <w:rPr>
          <w:color w:val="000000" w:themeColor="text1"/>
        </w:rPr>
        <w:t xml:space="preserve">up to £24m” has been allocated </w:t>
      </w:r>
      <w:r w:rsidRPr="007E54DC" w:rsidR="00FD06CC">
        <w:rPr>
          <w:color w:val="000000" w:themeColor="text1"/>
        </w:rPr>
        <w:t xml:space="preserve">to scaling our contribution to the GFCR </w:t>
      </w:r>
      <w:r w:rsidRPr="007E54DC">
        <w:rPr>
          <w:color w:val="000000" w:themeColor="text1"/>
        </w:rPr>
        <w:t xml:space="preserve">as part of strategic </w:t>
      </w:r>
      <w:r w:rsidRPr="007E54DC" w:rsidR="00FD06CC">
        <w:rPr>
          <w:color w:val="000000" w:themeColor="text1"/>
        </w:rPr>
        <w:t xml:space="preserve">make-up of </w:t>
      </w:r>
      <w:r w:rsidRPr="007E54DC">
        <w:rPr>
          <w:color w:val="000000" w:themeColor="text1"/>
        </w:rPr>
        <w:t>the BPF; there is no question regarding the affordability of the intervention.</w:t>
      </w:r>
    </w:p>
    <w:p w:rsidRPr="007E54DC" w:rsidR="004F3C60" w:rsidP="004F3C60" w:rsidRDefault="004F3C60" w14:paraId="5B0308B7" w14:textId="0546CA6C">
      <w:r w:rsidRPr="007E54DC">
        <w:t>To date,</w:t>
      </w:r>
      <w:r w:rsidRPr="007E54DC">
        <w:rPr>
          <w:rFonts w:eastAsia="Times New Roman"/>
        </w:rPr>
        <w:t xml:space="preserve"> Defra have </w:t>
      </w:r>
      <w:r w:rsidRPr="007E54DC">
        <w:rPr>
          <w:lang w:val="en-US"/>
        </w:rPr>
        <w:t xml:space="preserve">contributed £9m to the GFCR Grant Fund via the BPF which was all committed and disbursed in FY 2021/22. </w:t>
      </w:r>
      <w:r w:rsidRPr="007E54DC" w:rsidR="00FD06CC">
        <w:rPr>
          <w:lang w:val="en-US"/>
        </w:rPr>
        <w:t xml:space="preserve">Initially </w:t>
      </w:r>
      <w:r w:rsidRPr="007E54DC" w:rsidR="00FD06CC">
        <w:t>in,</w:t>
      </w:r>
      <w:r w:rsidRPr="007E54DC">
        <w:t xml:space="preserve"> 2021 we sought and received Investment Committee and ODA Board approval for an £5m investment</w:t>
      </w:r>
      <w:r w:rsidRPr="007E54DC" w:rsidR="00FD06CC">
        <w:t>;</w:t>
      </w:r>
      <w:r w:rsidRPr="007E54DC">
        <w:t xml:space="preserve"> </w:t>
      </w:r>
      <w:r w:rsidRPr="007E54DC" w:rsidR="00FD06CC">
        <w:t>f</w:t>
      </w:r>
      <w:r w:rsidRPr="007E54DC">
        <w:t xml:space="preserve">ollowing </w:t>
      </w:r>
      <w:r w:rsidRPr="007E54DC" w:rsidR="00FD06CC">
        <w:t>that</w:t>
      </w:r>
      <w:r w:rsidRPr="007E54DC">
        <w:t xml:space="preserve"> we invested a further £1m in the Autumn of 2021, announced by Lord Goldsmith at COP26, and £3m in March 2022 </w:t>
      </w:r>
      <w:r w:rsidRPr="007E54DC">
        <w:rPr>
          <w:rFonts w:eastAsia="Times New Roman"/>
        </w:rPr>
        <w:t xml:space="preserve">based on needs identified by the Fund and to support a reallocation of Defra ODA spend. </w:t>
      </w:r>
      <w:r w:rsidRPr="007E54DC">
        <w:t xml:space="preserve">Other donors to the Grant fund include </w:t>
      </w:r>
      <w:r w:rsidRPr="007E54DC">
        <w:rPr>
          <w:rStyle w:val="Strong"/>
          <w:rFonts w:cstheme="minorHAnsi"/>
          <w:b w:val="0"/>
          <w:bCs w:val="0"/>
          <w:shd w:val="clear" w:color="auto" w:fill="FFFFFF"/>
        </w:rPr>
        <w:t xml:space="preserve">Prince Albert </w:t>
      </w:r>
      <w:r w:rsidRPr="007E54DC">
        <w:rPr>
          <w:rStyle w:val="Strong"/>
          <w:rFonts w:cstheme="minorHAnsi"/>
          <w:b w:val="0"/>
          <w:bCs w:val="0"/>
          <w:color w:val="111111"/>
          <w:shd w:val="clear" w:color="auto" w:fill="FFFFFF"/>
        </w:rPr>
        <w:t xml:space="preserve">II of Monaco Foundation, the Paul G. Allen Family Foundation and the governments of Germany, </w:t>
      </w:r>
      <w:proofErr w:type="gramStart"/>
      <w:r w:rsidRPr="007E54DC">
        <w:rPr>
          <w:rStyle w:val="Strong"/>
          <w:rFonts w:cstheme="minorHAnsi"/>
          <w:b w:val="0"/>
          <w:bCs w:val="0"/>
          <w:color w:val="111111"/>
          <w:shd w:val="clear" w:color="auto" w:fill="FFFFFF"/>
        </w:rPr>
        <w:t>Canada</w:t>
      </w:r>
      <w:proofErr w:type="gramEnd"/>
      <w:r w:rsidRPr="007E54DC">
        <w:rPr>
          <w:rStyle w:val="Strong"/>
          <w:rFonts w:cstheme="minorHAnsi"/>
          <w:b w:val="0"/>
          <w:bCs w:val="0"/>
          <w:color w:val="111111"/>
          <w:shd w:val="clear" w:color="auto" w:fill="FFFFFF"/>
        </w:rPr>
        <w:t xml:space="preserve"> and France.</w:t>
      </w:r>
    </w:p>
    <w:p w:rsidRPr="007E54DC" w:rsidR="004F3C60" w:rsidP="004F3C60" w:rsidRDefault="00FD06CC" w14:paraId="1E7241F4" w14:textId="12DF2B0C">
      <w:r w:rsidRPr="007E54DC">
        <w:t xml:space="preserve">The Fund continues to grow and there is new demand for grant funding. </w:t>
      </w:r>
      <w:r w:rsidRPr="007E54DC" w:rsidR="004F3C60">
        <w:t xml:space="preserve">The purpose of this addendum to the original </w:t>
      </w:r>
      <w:r w:rsidRPr="007E54DC">
        <w:t xml:space="preserve">full </w:t>
      </w:r>
      <w:r w:rsidRPr="007E54DC" w:rsidR="004F3C60">
        <w:t xml:space="preserve">business case is to seek approval for </w:t>
      </w:r>
      <w:r w:rsidRPr="007E54DC">
        <w:t>an additional £24 million over three years (</w:t>
      </w:r>
      <w:r w:rsidRPr="007E54DC" w:rsidR="004F3C60">
        <w:t>£9m</w:t>
      </w:r>
      <w:r w:rsidRPr="007E54DC" w:rsidR="35C0CA53">
        <w:t>/</w:t>
      </w:r>
      <w:r w:rsidRPr="007E54DC" w:rsidR="004F3C60">
        <w:t>£8m</w:t>
      </w:r>
      <w:r w:rsidRPr="007E54DC" w:rsidR="7D3ECFDA">
        <w:t>/</w:t>
      </w:r>
      <w:r w:rsidRPr="007E54DC" w:rsidR="004F3C60">
        <w:t>£7m</w:t>
      </w:r>
      <w:r w:rsidRPr="007E54DC">
        <w:t>) to support that growth</w:t>
      </w:r>
      <w:r w:rsidRPr="007E54DC" w:rsidR="2D566AEE">
        <w:t xml:space="preserve"> and achieve the desired impact in partner countries</w:t>
      </w:r>
      <w:r w:rsidRPr="007E54DC">
        <w:t>.</w:t>
      </w:r>
      <w:r w:rsidRPr="007E54DC" w:rsidR="004F3C60">
        <w:t xml:space="preserve"> </w:t>
      </w:r>
      <w:r w:rsidRPr="007E54DC">
        <w:t>E</w:t>
      </w:r>
      <w:r w:rsidRPr="007E54DC" w:rsidR="004F3C60">
        <w:t>ach annual payment dependent on ongoing good performance demonstrated through A</w:t>
      </w:r>
      <w:r w:rsidRPr="007E54DC">
        <w:t>nnual Review</w:t>
      </w:r>
      <w:r w:rsidRPr="007E54DC" w:rsidR="004F3C60">
        <w:t>s. This will take our total planned investment in GFCR to £33m.</w:t>
      </w:r>
    </w:p>
    <w:p w:rsidRPr="007E54DC" w:rsidR="004F3C60" w:rsidP="23A59346" w:rsidRDefault="712668C6" w14:paraId="4983E987" w14:textId="5DFD26C6">
      <w:pPr>
        <w:rPr>
          <w:rFonts w:ascii="Calibri" w:hAnsi="Calibri" w:eastAsia="Calibri" w:cs="Calibri"/>
          <w:color w:val="000000" w:themeColor="text1"/>
        </w:rPr>
      </w:pPr>
      <w:r w:rsidRPr="007E54DC">
        <w:t xml:space="preserve">In terms of the performance of the scheme and our investment in the past 18 months; we are confident that this represents good value for money. </w:t>
      </w:r>
      <w:r w:rsidRPr="007E54DC">
        <w:rPr>
          <w:rStyle w:val="normaltextrun"/>
          <w:rFonts w:ascii="Calibri" w:hAnsi="Calibri" w:cs="Calibri"/>
          <w:color w:val="000000"/>
          <w:shd w:val="clear" w:color="auto" w:fill="FFFFFF"/>
        </w:rPr>
        <w:t xml:space="preserve">The </w:t>
      </w:r>
      <w:r w:rsidRPr="007E54DC">
        <w:rPr>
          <w:rStyle w:val="normaltextrun"/>
          <w:rFonts w:cs="Calibri"/>
          <w:color w:val="000000"/>
          <w:shd w:val="clear" w:color="auto" w:fill="FFFFFF"/>
        </w:rPr>
        <w:t>Annual Review</w:t>
      </w:r>
      <w:r w:rsidRPr="007E54DC">
        <w:rPr>
          <w:rStyle w:val="normaltextrun"/>
          <w:rFonts w:ascii="Calibri" w:hAnsi="Calibri" w:cs="Calibri"/>
          <w:color w:val="000000"/>
          <w:shd w:val="clear" w:color="auto" w:fill="FFFFFF"/>
        </w:rPr>
        <w:t xml:space="preserve"> score for</w:t>
      </w:r>
      <w:r w:rsidRPr="007E54DC">
        <w:rPr>
          <w:rStyle w:val="normaltextrun"/>
          <w:rFonts w:cs="Calibri"/>
          <w:color w:val="000000"/>
          <w:shd w:val="clear" w:color="auto" w:fill="FFFFFF"/>
        </w:rPr>
        <w:t xml:space="preserve"> the </w:t>
      </w:r>
      <w:r w:rsidRPr="007E54DC">
        <w:rPr>
          <w:rStyle w:val="normaltextrun"/>
          <w:rFonts w:ascii="Calibri" w:hAnsi="Calibri" w:cs="Calibri"/>
          <w:color w:val="000000"/>
          <w:shd w:val="clear" w:color="auto" w:fill="FFFFFF"/>
        </w:rPr>
        <w:t xml:space="preserve">FY 2021/2022 is </w:t>
      </w:r>
      <w:r w:rsidRPr="2CBED01F">
        <w:rPr>
          <w:rStyle w:val="normaltextrun"/>
          <w:rFonts w:ascii="Calibri" w:hAnsi="Calibri" w:cs="Calibri"/>
          <w:i/>
          <w:iCs/>
          <w:color w:val="000000"/>
          <w:shd w:val="clear" w:color="auto" w:fill="FFFFFF"/>
        </w:rPr>
        <w:t>A – met expectations</w:t>
      </w:r>
      <w:r w:rsidRPr="007E54DC">
        <w:rPr>
          <w:rStyle w:val="normaltextrun"/>
          <w:rFonts w:ascii="Calibri" w:hAnsi="Calibri" w:cs="Calibri"/>
          <w:color w:val="000000"/>
          <w:shd w:val="clear" w:color="auto" w:fill="FFFFFF"/>
        </w:rPr>
        <w:t>.</w:t>
      </w:r>
      <w:r w:rsidRPr="007E54DC">
        <w:rPr>
          <w:rStyle w:val="normaltextrun"/>
          <w:rFonts w:cs="Calibri"/>
          <w:color w:val="000000"/>
          <w:shd w:val="clear" w:color="auto" w:fill="FFFFFF"/>
        </w:rPr>
        <w:t xml:space="preserve"> </w:t>
      </w:r>
      <w:r w:rsidRPr="007E54DC">
        <w:rPr>
          <w:rStyle w:val="normaltextrun"/>
          <w:rFonts w:ascii="Calibri" w:hAnsi="Calibri" w:cs="Calibri"/>
          <w:color w:val="000000"/>
          <w:shd w:val="clear" w:color="auto" w:fill="FFFFFF"/>
        </w:rPr>
        <w:t xml:space="preserve">To summarise, all but one </w:t>
      </w:r>
      <w:r w:rsidRPr="007E54DC" w:rsidR="2E2567FB">
        <w:rPr>
          <w:rStyle w:val="normaltextrun"/>
          <w:rFonts w:ascii="Calibri" w:hAnsi="Calibri" w:cs="Calibri"/>
          <w:color w:val="000000"/>
          <w:shd w:val="clear" w:color="auto" w:fill="FFFFFF"/>
        </w:rPr>
        <w:t xml:space="preserve">of the </w:t>
      </w:r>
      <w:r w:rsidRPr="007E54DC">
        <w:rPr>
          <w:rStyle w:val="normaltextrun"/>
          <w:rFonts w:ascii="Calibri" w:hAnsi="Calibri" w:cs="Calibri"/>
          <w:color w:val="000000"/>
          <w:shd w:val="clear" w:color="auto" w:fill="FFFFFF"/>
        </w:rPr>
        <w:t>output indicators either met or exceed</w:t>
      </w:r>
      <w:r w:rsidRPr="007E54DC" w:rsidR="2E2567FB">
        <w:rPr>
          <w:rStyle w:val="normaltextrun"/>
          <w:rFonts w:ascii="Calibri" w:hAnsi="Calibri" w:cs="Calibri"/>
          <w:color w:val="000000"/>
          <w:shd w:val="clear" w:color="auto" w:fill="FFFFFF"/>
        </w:rPr>
        <w:t>ed</w:t>
      </w:r>
      <w:r w:rsidRPr="007E54DC">
        <w:rPr>
          <w:rStyle w:val="normaltextrun"/>
          <w:rFonts w:ascii="Calibri" w:hAnsi="Calibri" w:cs="Calibri"/>
          <w:color w:val="000000"/>
          <w:shd w:val="clear" w:color="auto" w:fill="FFFFFF"/>
        </w:rPr>
        <w:t xml:space="preserve"> targets</w:t>
      </w:r>
      <w:r w:rsidRPr="007E54DC" w:rsidR="2E1C0983">
        <w:rPr>
          <w:rStyle w:val="normaltextrun"/>
          <w:rFonts w:ascii="Calibri" w:hAnsi="Calibri" w:cs="Calibri"/>
          <w:color w:val="000000"/>
          <w:shd w:val="clear" w:color="auto" w:fill="FFFFFF"/>
        </w:rPr>
        <w:t xml:space="preserve">; </w:t>
      </w:r>
      <w:r w:rsidRPr="007E54DC" w:rsidR="2E1C0983">
        <w:rPr>
          <w:rFonts w:ascii="Calibri" w:hAnsi="Calibri" w:eastAsia="Calibri" w:cs="Calibri"/>
          <w:color w:val="000000" w:themeColor="text1"/>
        </w:rPr>
        <w:t>The Fiji Project had a target of leveraging $13.4m, and while GFCR are aware that this target was perhaps over ambitious for year 1, they have also expressed that Covid-19 caused challenges with the progression of the project</w:t>
      </w:r>
      <w:r w:rsidRPr="00857311" w:rsidR="35C71AD9">
        <w:rPr>
          <w:rFonts w:ascii="Calibri" w:hAnsi="Calibri" w:eastAsia="Calibri" w:cs="Calibri"/>
          <w:color w:val="000000" w:themeColor="text1"/>
          <w:vertAlign w:val="superscript"/>
        </w:rPr>
        <w:footnoteReference w:id="4"/>
      </w:r>
      <w:r w:rsidRPr="007E54DC" w:rsidR="2E1C0983">
        <w:rPr>
          <w:rFonts w:ascii="Calibri" w:hAnsi="Calibri" w:eastAsia="Calibri" w:cs="Calibri"/>
          <w:color w:val="000000" w:themeColor="text1"/>
        </w:rPr>
        <w:t xml:space="preserve">.  </w:t>
      </w:r>
    </w:p>
    <w:p w:rsidRPr="007E54DC" w:rsidR="004F3C60" w:rsidP="23A59346" w:rsidRDefault="712668C6" w14:paraId="0EEBD49D" w14:textId="50704226">
      <w:pPr>
        <w:rPr>
          <w:color w:val="2F5496"/>
        </w:rPr>
      </w:pPr>
      <w:r w:rsidRPr="007E54DC">
        <w:rPr>
          <w:rStyle w:val="normaltextrun"/>
          <w:rFonts w:ascii="Calibri" w:hAnsi="Calibri" w:cs="Calibri"/>
          <w:color w:val="000000"/>
          <w:shd w:val="clear" w:color="auto" w:fill="FFFFFF"/>
        </w:rPr>
        <w:t>Year 1 predominantly focused on enabling actions for future delivery, such as project scoping, building stakeholder relationships and approving new projects, all of which are in line with Defra’s expectations. </w:t>
      </w:r>
      <w:r w:rsidRPr="007E54DC">
        <w:rPr>
          <w:rStyle w:val="eop"/>
          <w:rFonts w:ascii="Calibri" w:hAnsi="Calibri" w:cs="Calibri"/>
          <w:color w:val="000000"/>
          <w:shd w:val="clear" w:color="auto" w:fill="FFFFFF"/>
        </w:rPr>
        <w:t> </w:t>
      </w:r>
      <w:r w:rsidRPr="007E54DC" w:rsidR="6979AD65">
        <w:rPr>
          <w:rStyle w:val="eop"/>
          <w:rFonts w:ascii="Calibri" w:hAnsi="Calibri" w:cs="Calibri"/>
          <w:color w:val="000000"/>
          <w:shd w:val="clear" w:color="auto" w:fill="FFFFFF"/>
        </w:rPr>
        <w:t>Within this review period,</w:t>
      </w:r>
      <w:r w:rsidRPr="007E54DC" w:rsidR="6979AD65">
        <w:rPr>
          <w:rFonts w:ascii="Calibri" w:hAnsi="Calibri" w:eastAsia="Calibri" w:cs="Calibri"/>
          <w:color w:val="000000" w:themeColor="text1"/>
          <w:lang w:val="en-US"/>
        </w:rPr>
        <w:t xml:space="preserve"> Defra financing supported projects in Kenya &amp; Tanzania, Fiji, </w:t>
      </w:r>
      <w:proofErr w:type="spellStart"/>
      <w:r w:rsidRPr="007E54DC" w:rsidR="6979AD65">
        <w:rPr>
          <w:rFonts w:ascii="Calibri" w:hAnsi="Calibri" w:eastAsia="Calibri" w:cs="Calibri"/>
          <w:color w:val="000000" w:themeColor="text1"/>
          <w:lang w:val="en-US"/>
        </w:rPr>
        <w:t>Papau</w:t>
      </w:r>
      <w:proofErr w:type="spellEnd"/>
      <w:r w:rsidRPr="007E54DC" w:rsidR="6979AD65">
        <w:rPr>
          <w:rFonts w:ascii="Calibri" w:hAnsi="Calibri" w:eastAsia="Calibri" w:cs="Calibri"/>
          <w:color w:val="000000" w:themeColor="text1"/>
          <w:lang w:val="en-US"/>
        </w:rPr>
        <w:t xml:space="preserve"> New Guinea, the </w:t>
      </w:r>
      <w:proofErr w:type="gramStart"/>
      <w:r w:rsidRPr="007E54DC" w:rsidR="6979AD65">
        <w:rPr>
          <w:rFonts w:ascii="Calibri" w:hAnsi="Calibri" w:eastAsia="Calibri" w:cs="Calibri"/>
          <w:color w:val="000000" w:themeColor="text1"/>
          <w:lang w:val="en-US"/>
        </w:rPr>
        <w:t>Philippines</w:t>
      </w:r>
      <w:proofErr w:type="gramEnd"/>
      <w:r w:rsidRPr="007E54DC" w:rsidR="6979AD65">
        <w:rPr>
          <w:rFonts w:ascii="Calibri" w:hAnsi="Calibri" w:eastAsia="Calibri" w:cs="Calibri"/>
          <w:color w:val="000000" w:themeColor="text1"/>
          <w:lang w:val="en-US"/>
        </w:rPr>
        <w:t xml:space="preserve"> and the </w:t>
      </w:r>
      <w:r w:rsidRPr="007E54DC" w:rsidR="6979AD65">
        <w:rPr>
          <w:rFonts w:ascii="Calibri" w:hAnsi="Calibri" w:eastAsia="Calibri" w:cs="Calibri"/>
          <w:color w:val="000000" w:themeColor="text1"/>
        </w:rPr>
        <w:t xml:space="preserve">Meso-American Reef. By 2030, these programmes intend to increase the resilience of nearly 450,000 hectares of coral reefs by addressing local drivers of coral reef degradation, provide enhanced ecosystem services to over 380,000 local beneficiaries, create </w:t>
      </w:r>
      <w:r w:rsidRPr="007E54DC" w:rsidR="6979AD65">
        <w:rPr>
          <w:rFonts w:ascii="Calibri" w:hAnsi="Calibri" w:eastAsia="Calibri" w:cs="Calibri"/>
          <w:color w:val="000000" w:themeColor="text1"/>
        </w:rPr>
        <w:t xml:space="preserve">3,800 new </w:t>
      </w:r>
      <w:proofErr w:type="gramStart"/>
      <w:r w:rsidRPr="007E54DC" w:rsidR="6979AD65">
        <w:rPr>
          <w:rFonts w:ascii="Calibri" w:hAnsi="Calibri" w:eastAsia="Calibri" w:cs="Calibri"/>
          <w:color w:val="000000" w:themeColor="text1"/>
        </w:rPr>
        <w:t>jobs</w:t>
      </w:r>
      <w:proofErr w:type="gramEnd"/>
      <w:r w:rsidRPr="007E54DC" w:rsidR="6979AD65">
        <w:rPr>
          <w:rFonts w:ascii="Calibri" w:hAnsi="Calibri" w:eastAsia="Calibri" w:cs="Calibri"/>
          <w:color w:val="000000" w:themeColor="text1"/>
        </w:rPr>
        <w:t xml:space="preserve"> and incubate more than 50 reef-positive interventions.  </w:t>
      </w:r>
      <w:r w:rsidRPr="007E54DC">
        <w:rPr>
          <w:rStyle w:val="normaltextrun"/>
          <w:rFonts w:cs="Calibri"/>
          <w:color w:val="000000"/>
          <w:shd w:val="clear" w:color="auto" w:fill="FFFFFF"/>
        </w:rPr>
        <w:t>For further details please see Annex D.</w:t>
      </w:r>
    </w:p>
    <w:p w:rsidRPr="007E54DC" w:rsidR="004F3C60" w:rsidP="004F3C60" w:rsidRDefault="004F3C60" w14:paraId="08484855" w14:textId="3171AFB9">
      <w:r>
        <w:t xml:space="preserve">As of July 2022, six donors have committed to £23.2m in grant contributions. This represents significant progress from </w:t>
      </w:r>
      <w:r w:rsidRPr="2CBED01F">
        <w:rPr>
          <w:rFonts w:eastAsiaTheme="minorEastAsia"/>
        </w:rPr>
        <w:t xml:space="preserve">the original business case in May 2021, at which point only £5m had been secured. </w:t>
      </w:r>
      <w:r>
        <w:t xml:space="preserve">The GFCR are in discussion with several existing and new donors with a view to securing additional multi-year commitments. </w:t>
      </w:r>
      <w:r w:rsidR="00FD06CC">
        <w:t>W</w:t>
      </w:r>
      <w:r w:rsidRPr="2CBED01F">
        <w:rPr>
          <w:color w:val="000000" w:themeColor="text1"/>
        </w:rPr>
        <w:t xml:space="preserve">e understand UK funding to be </w:t>
      </w:r>
      <w:r w:rsidRPr="2CBED01F">
        <w:rPr>
          <w:rFonts w:eastAsia="Times New Roman"/>
        </w:rPr>
        <w:t xml:space="preserve">significantly catalytic in terms of leveraging new finance for the Fund </w:t>
      </w:r>
      <w:r>
        <w:t>via pledging and deposits to the GFCR Grant Fund.</w:t>
      </w:r>
    </w:p>
    <w:p w:rsidRPr="007E54DC" w:rsidR="5C0C286A" w:rsidP="00E621DF" w:rsidRDefault="004F3C60" w14:paraId="59419BA1" w14:textId="4C540038">
      <w:pPr>
        <w:rPr>
          <w:color w:val="2F5496"/>
        </w:rPr>
      </w:pPr>
      <w:r w:rsidRPr="007E54DC">
        <w:t xml:space="preserve">In terms of the risks facing this investment, we had previously flagged key risks associated with 1.) provision of advance payments, which is </w:t>
      </w:r>
      <w:r w:rsidRPr="007E54DC" w:rsidR="007C0378">
        <w:t>mitigated</w:t>
      </w:r>
      <w:r w:rsidRPr="007E54DC">
        <w:t xml:space="preserve"> </w:t>
      </w:r>
      <w:r w:rsidRPr="007E54DC" w:rsidR="034DA7CA">
        <w:t>against through the UK’s  permanent voting or vetoing seat on the Executive Board (EB), whic</w:t>
      </w:r>
      <w:r w:rsidRPr="007E54DC" w:rsidR="18C4A5B0">
        <w:t xml:space="preserve">h </w:t>
      </w:r>
      <w:r w:rsidRPr="007E54DC" w:rsidR="034DA7CA">
        <w:t>provides confidence Defra</w:t>
      </w:r>
      <w:r w:rsidRPr="007E54DC" w:rsidR="733E7F00">
        <w:t>’</w:t>
      </w:r>
      <w:r w:rsidRPr="007E54DC" w:rsidR="034DA7CA">
        <w:t>s interests can be protected,</w:t>
      </w:r>
      <w:r w:rsidRPr="007E54DC" w:rsidR="0DE0ECC8">
        <w:t xml:space="preserve"> in addition to d</w:t>
      </w:r>
      <w:r w:rsidRPr="007E54DC" w:rsidR="034DA7CA">
        <w:t>ownstream due diligence checks on</w:t>
      </w:r>
      <w:r w:rsidRPr="007E54DC">
        <w:t xml:space="preserve"> partner</w:t>
      </w:r>
      <w:r w:rsidRPr="007E54DC" w:rsidR="007C0378">
        <w:t>s</w:t>
      </w:r>
      <w:r w:rsidRPr="007E54DC" w:rsidR="034DA7CA">
        <w:t xml:space="preserve"> </w:t>
      </w:r>
      <w:r w:rsidRPr="007E54DC" w:rsidR="0F598348">
        <w:t>prior to disbursement of funds</w:t>
      </w:r>
      <w:r w:rsidRPr="007E54DC" w:rsidR="268DA5C4">
        <w:t>, 2.)</w:t>
      </w:r>
      <w:r w:rsidRPr="007E54DC">
        <w:t xml:space="preserve"> reputational risks associated with the UK  being the largest donor in a relatively new fund, which is mitigated against via a claw-back clause if the Fund cannot fulfil its commitments and the fact that GFCR has demonstrated its clear ability to mobilise funding, and 3.) risks concerning fluctuations in exchange rates, impacting available funds. Mitigation includes the GFCR team monitoring exchange rates and raising concerns if there is potential for a large loss of funds.</w:t>
      </w:r>
    </w:p>
    <w:p w:rsidRPr="007E54DC" w:rsidR="004F3C60" w:rsidP="00E621DF" w:rsidRDefault="004F3C60" w14:paraId="4D798868" w14:textId="581AFFED">
      <w:pPr>
        <w:rPr>
          <w:rFonts w:ascii="Calibri" w:hAnsi="Calibri" w:eastAsia="Calibri" w:cs="Calibri"/>
        </w:rPr>
      </w:pPr>
      <w:r w:rsidRPr="007E54DC">
        <w:t xml:space="preserve">In December 2022, Defra </w:t>
      </w:r>
      <w:r w:rsidRPr="007E54DC" w:rsidR="00FD06CC">
        <w:t xml:space="preserve">completed </w:t>
      </w:r>
      <w:r w:rsidRPr="007E54DC">
        <w:t xml:space="preserve">an enhanced internal due diligence self-assessment, </w:t>
      </w:r>
      <w:r w:rsidRPr="007E54DC">
        <w:rPr>
          <w:rFonts w:eastAsia="Times New Roman"/>
        </w:rPr>
        <w:t xml:space="preserve">based on the FCDO’s 5 pillars of due diligence, </w:t>
      </w:r>
      <w:r w:rsidRPr="007E54DC">
        <w:rPr>
          <w:rFonts w:ascii="Calibri" w:hAnsi="Calibri" w:eastAsia="Calibri" w:cs="Calibri"/>
        </w:rPr>
        <w:t>that focusse</w:t>
      </w:r>
      <w:r w:rsidRPr="007E54DC" w:rsidR="00FD06CC">
        <w:rPr>
          <w:rFonts w:ascii="Calibri" w:hAnsi="Calibri" w:eastAsia="Calibri" w:cs="Calibri"/>
        </w:rPr>
        <w:t>d</w:t>
      </w:r>
      <w:r w:rsidRPr="007E54DC">
        <w:rPr>
          <w:rFonts w:ascii="Calibri" w:hAnsi="Calibri" w:eastAsia="Calibri" w:cs="Calibri"/>
        </w:rPr>
        <w:t xml:space="preserve"> on the UNDP GFCR team. The self-assessment complements </w:t>
      </w:r>
      <w:r w:rsidRPr="007E54DC">
        <w:t xml:space="preserve">the Multilateral Organisation Performance Assessment Network (MOPAN) review on UNDP completed in 2021 and the Central Assurance Assessment carried out on UNDP in 2020. The FCDO Institutional lead for UNDP </w:t>
      </w:r>
      <w:r w:rsidRPr="007E54DC" w:rsidR="00FD06CC">
        <w:t xml:space="preserve">has </w:t>
      </w:r>
      <w:r w:rsidRPr="007E54DC">
        <w:t xml:space="preserve">confirmed that </w:t>
      </w:r>
      <w:r w:rsidRPr="007E54DC">
        <w:rPr>
          <w:rFonts w:cs="Calibri"/>
        </w:rPr>
        <w:t xml:space="preserve">the current due diligence package on UNDP is </w:t>
      </w:r>
      <w:r w:rsidRPr="007E54DC" w:rsidR="00FD06CC">
        <w:rPr>
          <w:rFonts w:cs="Calibri"/>
        </w:rPr>
        <w:t xml:space="preserve">appropriate and </w:t>
      </w:r>
      <w:r w:rsidRPr="007E54DC">
        <w:rPr>
          <w:rFonts w:cs="Calibri"/>
        </w:rPr>
        <w:t>that there are no risks which would require the us to cease or not go ahead with further funding.</w:t>
      </w:r>
    </w:p>
    <w:p w:rsidRPr="007E54DC" w:rsidR="00681AFB" w:rsidRDefault="00681AFB" w14:paraId="12FBABF8" w14:textId="77777777">
      <w:pPr>
        <w:spacing w:after="160" w:line="259" w:lineRule="auto"/>
        <w:jc w:val="left"/>
        <w:rPr>
          <w:rFonts w:eastAsiaTheme="minorEastAsia" w:cstheme="minorHAnsi"/>
          <w:b/>
          <w:bCs/>
          <w:caps/>
          <w:color w:val="FFFFFF" w:themeColor="background1"/>
          <w:sz w:val="28"/>
        </w:rPr>
      </w:pPr>
      <w:r w:rsidRPr="007E54DC">
        <w:br w:type="page"/>
      </w:r>
    </w:p>
    <w:p w:rsidRPr="007E54DC" w:rsidR="004C2209" w:rsidP="00D15D16" w:rsidRDefault="004C2209" w14:paraId="34F25DC2" w14:textId="77777777">
      <w:pPr>
        <w:pStyle w:val="Heading1"/>
        <w:sectPr w:rsidRPr="007E54DC" w:rsidR="004C2209" w:rsidSect="004C2209">
          <w:headerReference w:type="default" r:id="rId18"/>
          <w:footerReference w:type="default" r:id="rId19"/>
          <w:pgSz w:w="11906" w:h="16838" w:orient="portrait"/>
          <w:pgMar w:top="1440" w:right="1440" w:bottom="1440" w:left="1440" w:header="709" w:footer="709" w:gutter="0"/>
          <w:pgNumType w:fmt="lowerRoman"/>
          <w:cols w:space="708"/>
          <w:docGrid w:linePitch="360"/>
        </w:sectPr>
      </w:pPr>
    </w:p>
    <w:p w:rsidRPr="007E54DC" w:rsidR="00D15D16" w:rsidP="00D15D16" w:rsidRDefault="006432B5" w14:paraId="7B6A2FD1" w14:textId="4DE909F8" w14:noSpellErr="1">
      <w:pPr>
        <w:pStyle w:val="Heading1"/>
        <w:rPr/>
      </w:pPr>
      <w:bookmarkStart w:name="_Toc87149746" w:id="891125597"/>
      <w:r w:rsidR="006432B5">
        <w:rPr/>
        <w:t xml:space="preserve">Section 1: </w:t>
      </w:r>
      <w:r w:rsidR="00C54597">
        <w:rPr/>
        <w:t>Programme and funding purpose</w:t>
      </w:r>
      <w:bookmarkEnd w:id="891125597"/>
    </w:p>
    <w:p w:rsidRPr="007E54DC" w:rsidR="00D15D16" w:rsidP="6EF7DA90" w:rsidRDefault="006432B5" w14:paraId="698BD449" w14:textId="58CFF784" w14:noSpellErr="1">
      <w:pPr>
        <w:pStyle w:val="Heading2"/>
        <w:rPr>
          <w:i w:val="1"/>
          <w:iCs w:val="1"/>
        </w:rPr>
      </w:pPr>
      <w:bookmarkStart w:name="_Toc692965427" w:id="378993174"/>
      <w:r w:rsidR="006432B5">
        <w:rPr/>
        <w:t xml:space="preserve">Section 1.1: </w:t>
      </w:r>
      <w:r w:rsidR="00D15D16">
        <w:rPr/>
        <w:t>What is the programme’s purpose?</w:t>
      </w:r>
      <w:bookmarkEnd w:id="378993174"/>
      <w:r w:rsidR="00D15D16">
        <w:rPr/>
        <w:t xml:space="preserve"> </w:t>
      </w:r>
    </w:p>
    <w:p w:rsidRPr="007E54DC" w:rsidR="00D15D16" w:rsidP="68054C4F" w:rsidRDefault="00D15D16" w14:paraId="2FEC569F" w14:textId="065F620C">
      <w:pPr>
        <w:rPr>
          <w:rFonts w:ascii="Calibri" w:hAnsi="Calibri" w:eastAsia="Calibri" w:cs="Calibri"/>
        </w:rPr>
      </w:pPr>
      <w:r w:rsidRPr="007E54DC">
        <w:rPr>
          <w:rStyle w:val="normaltextrun"/>
        </w:rPr>
        <w:t>The Global Fund for Coral Reefs (GFCR) is the first Multi-Partner Trust Fund</w:t>
      </w:r>
      <w:r w:rsidRPr="007E54DC" w:rsidR="00E0767E">
        <w:rPr>
          <w:rStyle w:val="normaltextrun"/>
        </w:rPr>
        <w:t xml:space="preserve"> (MPTF)</w:t>
      </w:r>
      <w:r w:rsidRPr="007E54DC" w:rsidR="000D55A3">
        <w:t xml:space="preserve"> specifically targeting Sustainable Development Goal (SDG) 14; Life Below Water. </w:t>
      </w:r>
      <w:r w:rsidRPr="007E54DC" w:rsidR="34E08628">
        <w:rPr>
          <w:rFonts w:ascii="Calibri" w:hAnsi="Calibri" w:eastAsia="Calibri" w:cs="Calibri"/>
        </w:rPr>
        <w:t xml:space="preserve">It </w:t>
      </w:r>
      <w:r w:rsidRPr="007E54DC" w:rsidR="00A443CB">
        <w:rPr>
          <w:rFonts w:ascii="Calibri" w:hAnsi="Calibri" w:eastAsia="Calibri" w:cs="Calibri"/>
        </w:rPr>
        <w:t xml:space="preserve">combines </w:t>
      </w:r>
      <w:r w:rsidRPr="007E54DC" w:rsidR="34E08628">
        <w:rPr>
          <w:rFonts w:ascii="Calibri" w:hAnsi="Calibri" w:eastAsia="Calibri" w:cs="Calibri"/>
        </w:rPr>
        <w:t xml:space="preserve">public </w:t>
      </w:r>
      <w:r w:rsidRPr="007E54DC" w:rsidR="00A443CB">
        <w:rPr>
          <w:rFonts w:ascii="Calibri" w:hAnsi="Calibri" w:eastAsia="Calibri" w:cs="Calibri"/>
        </w:rPr>
        <w:t xml:space="preserve">grants with </w:t>
      </w:r>
      <w:r w:rsidRPr="007E54DC" w:rsidR="34E08628">
        <w:rPr>
          <w:rFonts w:ascii="Calibri" w:hAnsi="Calibri" w:eastAsia="Calibri" w:cs="Calibri"/>
        </w:rPr>
        <w:t xml:space="preserve">and private investments for coral reefs with particular attention on </w:t>
      </w:r>
      <w:r w:rsidRPr="007E54DC" w:rsidR="00A443CB">
        <w:rPr>
          <w:rFonts w:ascii="Calibri" w:hAnsi="Calibri" w:eastAsia="Calibri" w:cs="Calibri"/>
        </w:rPr>
        <w:t xml:space="preserve">those in </w:t>
      </w:r>
      <w:r w:rsidRPr="007E54DC" w:rsidR="34E08628">
        <w:rPr>
          <w:rFonts w:ascii="Calibri" w:hAnsi="Calibri" w:eastAsia="Calibri" w:cs="Calibri"/>
        </w:rPr>
        <w:t>Small Island Developing States. The GFCR operates in coral reef countries around the world, with a focus on interventions that support communities dependent on coral reefs that have been identified as the most resilient to climate change.</w:t>
      </w:r>
    </w:p>
    <w:p w:rsidRPr="007E54DC" w:rsidR="00AC6A5D" w:rsidP="00AC6A5D" w:rsidRDefault="77A34B42" w14:paraId="5FCE05F5" w14:textId="2076D444">
      <w:pPr>
        <w:spacing w:after="0"/>
      </w:pPr>
      <w:r w:rsidRPr="007E54DC">
        <w:rPr>
          <w:rStyle w:val="normaltextrun"/>
        </w:rPr>
        <w:t xml:space="preserve">The GFCR promotes a ‘protect-transform-restore-recover’ approach in </w:t>
      </w:r>
      <w:r w:rsidRPr="007E54DC" w:rsidR="2D8E1230">
        <w:rPr>
          <w:rStyle w:val="normaltextrun"/>
        </w:rPr>
        <w:t xml:space="preserve">these </w:t>
      </w:r>
      <w:r w:rsidRPr="007E54DC">
        <w:rPr>
          <w:rStyle w:val="normaltextrun"/>
        </w:rPr>
        <w:t xml:space="preserve">priority locations to preserve coral reefs in the face of serious decline and extinction. </w:t>
      </w:r>
      <w:r w:rsidRPr="007E54DC">
        <w:t>Coral reefs are amongst the most valuable ecosystems on earth, harbouring the highest biodiversity of any ecosystem</w:t>
      </w:r>
      <w:r w:rsidRPr="007E54DC" w:rsidR="009C08CC">
        <w:rPr>
          <w:rStyle w:val="FootnoteReference"/>
        </w:rPr>
        <w:footnoteReference w:id="5"/>
      </w:r>
      <w:r w:rsidRPr="007E54DC">
        <w:t>, supporting 25% of marine life</w:t>
      </w:r>
      <w:r w:rsidRPr="007E54DC" w:rsidR="00245A9A">
        <w:rPr>
          <w:rStyle w:val="FootnoteReference"/>
        </w:rPr>
        <w:footnoteReference w:id="6"/>
      </w:r>
      <w:r w:rsidRPr="007E54DC">
        <w:t xml:space="preserve"> and providing a myriad of benefits to thousands of species</w:t>
      </w:r>
      <w:r w:rsidRPr="007E54DC" w:rsidR="00245A9A">
        <w:rPr>
          <w:rStyle w:val="FootnoteReference"/>
        </w:rPr>
        <w:footnoteReference w:id="7"/>
      </w:r>
      <w:r w:rsidRPr="007E54DC">
        <w:t>. </w:t>
      </w:r>
      <w:r w:rsidRPr="007E54DC" w:rsidR="1D211049">
        <w:t>The GFCR has four main outcomes: </w:t>
      </w:r>
    </w:p>
    <w:p w:rsidRPr="007E54DC" w:rsidR="00AC6A5D" w:rsidP="006628DE" w:rsidRDefault="00AC6A5D" w14:paraId="7DC77013" w14:textId="77777777">
      <w:pPr>
        <w:pStyle w:val="ListParagraph"/>
        <w:numPr>
          <w:ilvl w:val="0"/>
          <w:numId w:val="9"/>
        </w:numPr>
        <w:rPr>
          <w:rFonts w:eastAsia="Times New Roman"/>
        </w:rPr>
      </w:pPr>
      <w:r w:rsidRPr="007E54DC">
        <w:rPr>
          <w:rFonts w:eastAsia="Times New Roman"/>
        </w:rPr>
        <w:t>Protect priority coral reef sites and climate change-affected refugia (areas capable of retaining suitable habitats despite climate change) </w:t>
      </w:r>
    </w:p>
    <w:p w:rsidRPr="007E54DC" w:rsidR="00AC6A5D" w:rsidP="006628DE" w:rsidRDefault="00AC6A5D" w14:paraId="67239491" w14:textId="77777777">
      <w:pPr>
        <w:pStyle w:val="ListParagraph"/>
        <w:numPr>
          <w:ilvl w:val="0"/>
          <w:numId w:val="9"/>
        </w:numPr>
        <w:rPr>
          <w:rFonts w:eastAsia="Times New Roman"/>
        </w:rPr>
      </w:pPr>
      <w:r w:rsidRPr="007E54DC">
        <w:rPr>
          <w:rFonts w:eastAsia="Times New Roman"/>
        </w:rPr>
        <w:t>Transform the livelihoods of coral reef-dependent communities </w:t>
      </w:r>
    </w:p>
    <w:p w:rsidRPr="007E54DC" w:rsidR="00AC6A5D" w:rsidP="006628DE" w:rsidRDefault="00AC6A5D" w14:paraId="5B076EB1" w14:textId="77777777">
      <w:pPr>
        <w:pStyle w:val="ListParagraph"/>
        <w:numPr>
          <w:ilvl w:val="0"/>
          <w:numId w:val="9"/>
        </w:numPr>
        <w:rPr>
          <w:rFonts w:eastAsia="Times New Roman"/>
        </w:rPr>
      </w:pPr>
      <w:r w:rsidRPr="007E54DC">
        <w:rPr>
          <w:rFonts w:eastAsia="Times New Roman"/>
        </w:rPr>
        <w:t>Promotion of, and funding to, restoration and adaptation technologies </w:t>
      </w:r>
    </w:p>
    <w:p w:rsidRPr="007E54DC" w:rsidR="00AC6A5D" w:rsidP="006628DE" w:rsidRDefault="00AC6A5D" w14:paraId="472E6B58" w14:textId="77777777">
      <w:pPr>
        <w:pStyle w:val="ListParagraph"/>
        <w:numPr>
          <w:ilvl w:val="0"/>
          <w:numId w:val="9"/>
        </w:numPr>
        <w:rPr>
          <w:rFonts w:eastAsia="Times New Roman"/>
        </w:rPr>
      </w:pPr>
      <w:r w:rsidRPr="007E54DC">
        <w:rPr>
          <w:rFonts w:eastAsia="Times New Roman"/>
        </w:rPr>
        <w:t>Enhance the recovery and resilience of coral reef-dependent communities to major shocks </w:t>
      </w:r>
    </w:p>
    <w:p w:rsidRPr="007E54DC" w:rsidR="3FA1503E" w:rsidP="00A443CB" w:rsidRDefault="1D211049" w14:paraId="6DD45FCB" w14:textId="34CA1CB3">
      <w:pPr>
        <w:spacing w:after="0"/>
      </w:pPr>
      <w:r w:rsidRPr="007E54DC">
        <w:rPr>
          <w:rStyle w:val="normaltextrun"/>
        </w:rPr>
        <w:t>There is a widely recognised finance gap for biodiversity conservation. Global conservation finance is estimated to need to increase by 5-7 times from 2019 levels by 2030 to reverse global biodiversity decline</w:t>
      </w:r>
      <w:r w:rsidRPr="007E54DC" w:rsidR="00AC6A5D">
        <w:rPr>
          <w:rStyle w:val="FootnoteReference"/>
        </w:rPr>
        <w:footnoteReference w:id="8"/>
      </w:r>
      <w:r w:rsidRPr="007E54DC">
        <w:rPr>
          <w:rStyle w:val="normaltextrun"/>
        </w:rPr>
        <w:t xml:space="preserve">. </w:t>
      </w:r>
      <w:r w:rsidRPr="007E54DC" w:rsidR="2D8E1230">
        <w:rPr>
          <w:rFonts w:ascii="Calibri" w:hAnsi="Calibri" w:eastAsia="Calibri" w:cs="Calibri"/>
          <w:color w:val="242424"/>
        </w:rPr>
        <w:t xml:space="preserve">The </w:t>
      </w:r>
      <w:r w:rsidRPr="007E54DC" w:rsidR="6F82EF0B">
        <w:rPr>
          <w:rFonts w:ascii="Calibri" w:hAnsi="Calibri" w:eastAsia="Calibri" w:cs="Calibri"/>
          <w:color w:val="242424"/>
        </w:rPr>
        <w:t xml:space="preserve">GFCR </w:t>
      </w:r>
      <w:r w:rsidRPr="007E54DC" w:rsidR="2D8E1230">
        <w:rPr>
          <w:rFonts w:ascii="Calibri" w:hAnsi="Calibri" w:eastAsia="Calibri" w:cs="Calibri"/>
          <w:color w:val="242424"/>
        </w:rPr>
        <w:t xml:space="preserve">model is </w:t>
      </w:r>
      <w:r w:rsidRPr="007E54DC" w:rsidR="6F82EF0B">
        <w:rPr>
          <w:rFonts w:ascii="Calibri" w:hAnsi="Calibri" w:eastAsia="Calibri" w:cs="Calibri"/>
          <w:color w:val="242424"/>
        </w:rPr>
        <w:t xml:space="preserve">expected to </w:t>
      </w:r>
      <w:r w:rsidRPr="007E54DC" w:rsidR="2D8E1230">
        <w:rPr>
          <w:rFonts w:ascii="Calibri" w:hAnsi="Calibri" w:eastAsia="Calibri" w:cs="Calibri"/>
          <w:color w:val="242424"/>
        </w:rPr>
        <w:t xml:space="preserve">contribute to meeting this finance gap and </w:t>
      </w:r>
      <w:r w:rsidRPr="007E54DC" w:rsidR="6F82EF0B">
        <w:rPr>
          <w:rFonts w:ascii="Calibri" w:hAnsi="Calibri" w:eastAsia="Calibri" w:cs="Calibri"/>
          <w:color w:val="242424"/>
        </w:rPr>
        <w:t>lead to sustainable change through:</w:t>
      </w:r>
    </w:p>
    <w:p w:rsidRPr="007E54DC" w:rsidR="3FA1503E" w:rsidP="00A443CB" w:rsidRDefault="00A443CB" w14:paraId="22B9C791" w14:textId="2C866404">
      <w:pPr>
        <w:pStyle w:val="ListParagraph"/>
        <w:numPr>
          <w:ilvl w:val="0"/>
          <w:numId w:val="8"/>
        </w:numPr>
        <w:rPr>
          <w:rFonts w:eastAsia="Calibri"/>
          <w:color w:val="242424"/>
        </w:rPr>
      </w:pPr>
      <w:r w:rsidRPr="007E54DC">
        <w:rPr>
          <w:rFonts w:eastAsia="Calibri"/>
          <w:color w:val="242424"/>
        </w:rPr>
        <w:t>C</w:t>
      </w:r>
      <w:r w:rsidRPr="007E54DC" w:rsidR="3FA1503E">
        <w:rPr>
          <w:rFonts w:eastAsia="Calibri"/>
          <w:color w:val="242424"/>
        </w:rPr>
        <w:t>atalytic use of blended finance to build confidence and buy-in of the private sector to invest</w:t>
      </w:r>
      <w:r w:rsidRPr="007E54DC" w:rsidR="00934C73">
        <w:rPr>
          <w:rFonts w:eastAsia="Calibri"/>
          <w:color w:val="242424"/>
        </w:rPr>
        <w:t xml:space="preserve"> </w:t>
      </w:r>
      <w:r w:rsidRPr="007E54DC" w:rsidR="3FA1503E">
        <w:rPr>
          <w:rFonts w:eastAsia="Calibri"/>
          <w:color w:val="242424"/>
        </w:rPr>
        <w:t>in sustainable solutions</w:t>
      </w:r>
      <w:r w:rsidRPr="007E54DC">
        <w:rPr>
          <w:rFonts w:eastAsia="Calibri"/>
          <w:color w:val="242424"/>
        </w:rPr>
        <w:t>.</w:t>
      </w:r>
    </w:p>
    <w:p w:rsidRPr="007E54DC" w:rsidR="3FA1503E" w:rsidP="00A443CB" w:rsidRDefault="00A443CB" w14:paraId="6C38C1A0" w14:textId="3AB7B59C">
      <w:pPr>
        <w:pStyle w:val="ListParagraph"/>
        <w:numPr>
          <w:ilvl w:val="0"/>
          <w:numId w:val="8"/>
        </w:numPr>
        <w:rPr>
          <w:rFonts w:eastAsia="Calibri"/>
          <w:color w:val="242424"/>
        </w:rPr>
      </w:pPr>
      <w:r w:rsidRPr="007E54DC">
        <w:rPr>
          <w:rFonts w:eastAsia="Calibri"/>
          <w:color w:val="242424"/>
        </w:rPr>
        <w:t>I</w:t>
      </w:r>
      <w:r w:rsidRPr="007E54DC" w:rsidR="3FA1503E">
        <w:rPr>
          <w:rFonts w:eastAsia="Calibri"/>
          <w:color w:val="242424"/>
        </w:rPr>
        <w:t>ntegration of sustainable revenue streams in the design and management of protected areas</w:t>
      </w:r>
      <w:r w:rsidRPr="007E54DC" w:rsidR="00934C73">
        <w:rPr>
          <w:rFonts w:eastAsia="Calibri"/>
          <w:color w:val="242424"/>
        </w:rPr>
        <w:t>.</w:t>
      </w:r>
    </w:p>
    <w:p w:rsidRPr="007E54DC" w:rsidR="3FA1503E" w:rsidP="00A443CB" w:rsidRDefault="00A443CB" w14:paraId="404E28F7" w14:textId="64E5C277">
      <w:pPr>
        <w:pStyle w:val="ListParagraph"/>
        <w:numPr>
          <w:ilvl w:val="0"/>
          <w:numId w:val="8"/>
        </w:numPr>
        <w:rPr>
          <w:rFonts w:eastAsia="Calibri"/>
          <w:color w:val="242424"/>
        </w:rPr>
      </w:pPr>
      <w:r w:rsidRPr="007E54DC">
        <w:rPr>
          <w:rFonts w:eastAsia="Calibri"/>
          <w:color w:val="242424"/>
        </w:rPr>
        <w:t>S</w:t>
      </w:r>
      <w:r w:rsidRPr="007E54DC" w:rsidR="3FA1503E">
        <w:rPr>
          <w:rFonts w:eastAsia="Calibri"/>
          <w:color w:val="242424"/>
        </w:rPr>
        <w:t>upporting the development and financial sustainability of blue economy incubators that can provide in-country operational elements to allow the continuation of their development of SME pipeline</w:t>
      </w:r>
      <w:r w:rsidRPr="007E54DC">
        <w:rPr>
          <w:rFonts w:eastAsia="Calibri"/>
          <w:color w:val="242424"/>
        </w:rPr>
        <w:t>.</w:t>
      </w:r>
    </w:p>
    <w:p w:rsidRPr="007E54DC" w:rsidR="3FA1503E" w:rsidP="00A443CB" w:rsidRDefault="3FA1503E" w14:paraId="4FB7E808" w14:textId="42C47762">
      <w:pPr>
        <w:pStyle w:val="ListParagraph"/>
        <w:numPr>
          <w:ilvl w:val="0"/>
          <w:numId w:val="8"/>
        </w:numPr>
        <w:rPr>
          <w:rFonts w:eastAsia="Calibri"/>
          <w:color w:val="242424"/>
        </w:rPr>
      </w:pPr>
      <w:r w:rsidRPr="007E54DC">
        <w:rPr>
          <w:rFonts w:eastAsia="Calibri"/>
          <w:color w:val="242424"/>
        </w:rPr>
        <w:t>Sharing of lessons learned in terms of successes and challenges with the community of coral reef and blue economy practitioners to accelerate the replication of successful business-oriented solutions for conservation.</w:t>
      </w:r>
    </w:p>
    <w:p w:rsidRPr="007E54DC" w:rsidR="00AC6A5D" w:rsidP="00896619" w:rsidRDefault="47C50BBB" w14:paraId="753F10D8" w14:textId="38A2E811">
      <w:pPr>
        <w:spacing w:after="0"/>
        <w:rPr>
          <w:rFonts w:eastAsia="Times New Roman" w:cstheme="minorHAnsi"/>
          <w:sz w:val="16"/>
          <w:szCs w:val="16"/>
        </w:rPr>
      </w:pPr>
      <w:r w:rsidRPr="007E54DC">
        <w:rPr>
          <w:rFonts w:eastAsia="Times New Roman"/>
        </w:rPr>
        <w:t xml:space="preserve">The GFCR will look to build and complement existing initiatives in countries for maximum impact. Furthermore, the GFCR will work to develop enabling environments by addressing policy, </w:t>
      </w:r>
      <w:r w:rsidRPr="007E54DC" w:rsidR="00BD3371">
        <w:rPr>
          <w:rFonts w:eastAsia="Times New Roman"/>
        </w:rPr>
        <w:t>capacity,</w:t>
      </w:r>
      <w:r w:rsidRPr="007E54DC">
        <w:rPr>
          <w:rFonts w:eastAsia="Times New Roman"/>
        </w:rPr>
        <w:t xml:space="preserve"> and financial barriers in countries that previous initiatives may have overlooked. The GFCR Global </w:t>
      </w:r>
      <w:r w:rsidRPr="007E54DC">
        <w:rPr>
          <w:rFonts w:eastAsia="Times New Roman"/>
        </w:rPr>
        <w:t xml:space="preserve">Team is already closely connected to these programmes and will engage with relevant organisations in each geography as it identifies the pipeline </w:t>
      </w:r>
      <w:proofErr w:type="gramStart"/>
      <w:r w:rsidRPr="007E54DC">
        <w:rPr>
          <w:rFonts w:eastAsia="Times New Roman"/>
        </w:rPr>
        <w:t>in order to</w:t>
      </w:r>
      <w:proofErr w:type="gramEnd"/>
      <w:r w:rsidRPr="007E54DC">
        <w:rPr>
          <w:rFonts w:eastAsia="Times New Roman"/>
        </w:rPr>
        <w:t xml:space="preserve"> collaborate, co-invest and share knowledge.  </w:t>
      </w:r>
    </w:p>
    <w:p w:rsidRPr="007E54DC" w:rsidR="00896619" w:rsidP="00896619" w:rsidRDefault="00896619" w14:paraId="457A8078" w14:textId="77777777">
      <w:pPr>
        <w:spacing w:after="0" w:line="240" w:lineRule="auto"/>
        <w:ind w:left="360"/>
        <w:rPr>
          <w:rFonts w:eastAsia="Times New Roman" w:cstheme="minorHAnsi"/>
          <w:sz w:val="18"/>
          <w:szCs w:val="18"/>
        </w:rPr>
      </w:pPr>
    </w:p>
    <w:p w:rsidRPr="007E54DC" w:rsidR="00D15D16" w:rsidP="0403BAC4" w:rsidRDefault="5E09F1B8" w14:paraId="345BDA0C" w14:textId="3E3EC56F">
      <w:pPr>
        <w:rPr>
          <w:rStyle w:val="normaltextrun"/>
        </w:rPr>
      </w:pPr>
      <w:r w:rsidRPr="007E54DC">
        <w:rPr>
          <w:rFonts w:eastAsiaTheme="minorEastAsia"/>
          <w:color w:val="000000" w:themeColor="text1"/>
        </w:rPr>
        <w:t>While the GFCR is an innovative financial mechanism, its legal architecture is based on a standard set of agreements developed by the UN and partners to provide a solid fiduciary framework, high transparency, joint decision-making processes, standard operating modalities, and a credible programming/allocation cycle.</w:t>
      </w:r>
      <w:r w:rsidRPr="007E54DC" w:rsidR="31E9F268">
        <w:rPr>
          <w:rFonts w:ascii="Calibri" w:hAnsi="Calibri" w:eastAsia="Calibri" w:cs="Calibri"/>
          <w:sz w:val="20"/>
          <w:szCs w:val="20"/>
        </w:rPr>
        <w:t xml:space="preserve"> </w:t>
      </w:r>
      <w:r w:rsidRPr="007E54DC" w:rsidR="31E9F268">
        <w:rPr>
          <w:rFonts w:ascii="Calibri" w:hAnsi="Calibri" w:eastAsia="Calibri" w:cs="Calibri"/>
        </w:rPr>
        <w:t>Th</w:t>
      </w:r>
      <w:r w:rsidRPr="007E54DC" w:rsidR="00D15D16">
        <w:rPr>
          <w:rStyle w:val="normaltextrun"/>
        </w:rPr>
        <w:t>e GFCR is designed as a blended finance vehicle with two “</w:t>
      </w:r>
      <w:r w:rsidRPr="007E54DC" w:rsidR="00493DD9">
        <w:rPr>
          <w:rStyle w:val="normaltextrun"/>
        </w:rPr>
        <w:t>funds</w:t>
      </w:r>
      <w:r w:rsidRPr="007E54DC" w:rsidR="00D15D16">
        <w:rPr>
          <w:rStyle w:val="normaltextrun"/>
        </w:rPr>
        <w:t>” under the same Theory of Change</w:t>
      </w:r>
      <w:r w:rsidRPr="007E54DC" w:rsidR="0007504F">
        <w:rPr>
          <w:rStyle w:val="normaltextrun"/>
        </w:rPr>
        <w:t xml:space="preserve"> (Annex </w:t>
      </w:r>
      <w:r w:rsidRPr="007E54DC" w:rsidR="00EA1646">
        <w:rPr>
          <w:rStyle w:val="normaltextrun"/>
        </w:rPr>
        <w:t xml:space="preserve">A) </w:t>
      </w:r>
      <w:r w:rsidRPr="007E54DC" w:rsidR="00D15D16">
        <w:rPr>
          <w:rStyle w:val="normaltextrun"/>
        </w:rPr>
        <w:t>and investment plan.</w:t>
      </w:r>
      <w:r w:rsidRPr="007E54DC" w:rsidR="70E8A1DE">
        <w:rPr>
          <w:rStyle w:val="normaltextrun"/>
        </w:rPr>
        <w:t xml:space="preserve"> To date Defra have </w:t>
      </w:r>
      <w:r w:rsidRPr="007E54DC" w:rsidR="2F8D8710">
        <w:rPr>
          <w:rStyle w:val="normaltextrun"/>
        </w:rPr>
        <w:t>input a financial contribution totalling £9m into the Grant Fund.</w:t>
      </w:r>
    </w:p>
    <w:p w:rsidRPr="00857311" w:rsidR="00D15D16" w:rsidP="00D15D16" w:rsidRDefault="00D15D16" w14:paraId="42C8DCEB" w14:textId="28E88935">
      <w:pPr>
        <w:rPr>
          <w:rStyle w:val="normaltextrun"/>
          <w:rFonts w:cstheme="minorHAnsi"/>
        </w:rPr>
      </w:pPr>
      <w:r w:rsidRPr="007E54DC">
        <w:rPr>
          <w:rStyle w:val="normaltextrun"/>
          <w:rFonts w:cstheme="minorHAnsi"/>
        </w:rPr>
        <w:t xml:space="preserve">The Grant Fund serves to incubate a pipeline of investible projects that generate positive environmental, </w:t>
      </w:r>
      <w:r w:rsidRPr="007E54DC" w:rsidR="00C0040A">
        <w:rPr>
          <w:rStyle w:val="normaltextrun"/>
          <w:rFonts w:cstheme="minorHAnsi"/>
        </w:rPr>
        <w:t>social,</w:t>
      </w:r>
      <w:r w:rsidRPr="007E54DC">
        <w:rPr>
          <w:rStyle w:val="normaltextrun"/>
          <w:rFonts w:cstheme="minorHAnsi"/>
        </w:rPr>
        <w:t xml:space="preserve"> and economic impact. Grant capital is effectively sequenced to build local capacity and de-risk the private sector role in the blue economy sector. Grants help to lay the foundation of an enabling environment for sustainable finance for coral reef conservation by funding </w:t>
      </w:r>
      <w:r w:rsidRPr="00857311">
        <w:rPr>
          <w:rStyle w:val="normaltextrun"/>
          <w:rFonts w:cstheme="minorHAnsi"/>
        </w:rPr>
        <w:t xml:space="preserve">technical assistance, capacity development, </w:t>
      </w:r>
      <w:r w:rsidRPr="00857311" w:rsidR="000D55A3">
        <w:rPr>
          <w:rStyle w:val="normaltextrun"/>
          <w:rFonts w:cstheme="minorHAnsi"/>
        </w:rPr>
        <w:t>emergency grants</w:t>
      </w:r>
      <w:r w:rsidRPr="00857311">
        <w:rPr>
          <w:rStyle w:val="normaltextrun"/>
          <w:rFonts w:cstheme="minorHAnsi"/>
        </w:rPr>
        <w:t>, and monitoring and evaluation.</w:t>
      </w:r>
    </w:p>
    <w:p w:rsidRPr="00857311" w:rsidR="00D15D16" w:rsidP="00D15D16" w:rsidRDefault="00D15D16" w14:paraId="2ED0060E" w14:textId="1BA20A31">
      <w:pPr>
        <w:rPr>
          <w:rStyle w:val="normaltextrun"/>
          <w:rFonts w:cstheme="minorHAnsi"/>
        </w:rPr>
      </w:pPr>
      <w:r w:rsidRPr="00857311">
        <w:rPr>
          <w:rStyle w:val="normaltextrun"/>
          <w:rFonts w:cstheme="minorHAnsi"/>
        </w:rPr>
        <w:t xml:space="preserve">The Investment Fund provides investment capital to scale initiatives and maximise the impact of projects incubated by the </w:t>
      </w:r>
      <w:r w:rsidRPr="00857311" w:rsidR="00D07146">
        <w:rPr>
          <w:rStyle w:val="normaltextrun"/>
          <w:rFonts w:cstheme="minorHAnsi"/>
        </w:rPr>
        <w:t>Grant Fund</w:t>
      </w:r>
      <w:r w:rsidRPr="00857311">
        <w:rPr>
          <w:rStyle w:val="normaltextrun"/>
          <w:rFonts w:cstheme="minorHAnsi"/>
        </w:rPr>
        <w:t xml:space="preserve">. Guarantees and concessional loans from the </w:t>
      </w:r>
      <w:r w:rsidRPr="00857311" w:rsidR="0065528E">
        <w:rPr>
          <w:rStyle w:val="normaltextrun"/>
          <w:rFonts w:cstheme="minorHAnsi"/>
        </w:rPr>
        <w:t>Green Climate Fund (</w:t>
      </w:r>
      <w:r w:rsidRPr="00857311">
        <w:rPr>
          <w:rStyle w:val="normaltextrun"/>
          <w:rFonts w:cstheme="minorHAnsi"/>
        </w:rPr>
        <w:t>GCF</w:t>
      </w:r>
      <w:r w:rsidRPr="00857311" w:rsidR="0065528E">
        <w:rPr>
          <w:rStyle w:val="normaltextrun"/>
          <w:rFonts w:cstheme="minorHAnsi"/>
        </w:rPr>
        <w:t>)</w:t>
      </w:r>
      <w:r w:rsidRPr="00857311">
        <w:rPr>
          <w:rStyle w:val="normaltextrun"/>
          <w:rFonts w:cstheme="minorHAnsi"/>
        </w:rPr>
        <w:t>, multilateral development banks and other sources are being mobilised to further de-risk investments in the unfamiliar markets of the blue economy and attract private investor capital.</w:t>
      </w:r>
    </w:p>
    <w:p w:rsidRPr="00857311" w:rsidR="00491D41" w:rsidP="00D15D16" w:rsidRDefault="00D15D16" w14:paraId="466BFB46" w14:textId="307C5C7C">
      <w:pPr>
        <w:rPr>
          <w:rStyle w:val="normaltextrun"/>
        </w:rPr>
      </w:pPr>
      <w:r w:rsidRPr="00857311">
        <w:rPr>
          <w:rStyle w:val="normaltextrun"/>
        </w:rPr>
        <w:t xml:space="preserve">The blended approach of the Fund creates efficiencies of scale, reduces dependence on limited and short-term grant funding, accelerates the investment readiness of projects, reduces commercial and environmental-social-governance risk through a diversified portfolio and works to establish local entities for improved representation and participation of local stakeholders. </w:t>
      </w:r>
      <w:r w:rsidRPr="00857311" w:rsidR="000D55A3">
        <w:rPr>
          <w:rStyle w:val="normaltextrun"/>
        </w:rPr>
        <w:t xml:space="preserve">Through the UK’s Blue Planet Fund </w:t>
      </w:r>
      <w:r w:rsidRPr="00857311" w:rsidR="009E118A">
        <w:rPr>
          <w:rStyle w:val="normaltextrun"/>
        </w:rPr>
        <w:t xml:space="preserve">(BPF) </w:t>
      </w:r>
      <w:r w:rsidRPr="00857311" w:rsidR="000D55A3">
        <w:rPr>
          <w:rStyle w:val="normaltextrun"/>
        </w:rPr>
        <w:t xml:space="preserve">Defra has already contributed </w:t>
      </w:r>
      <w:r w:rsidRPr="00857311" w:rsidR="008C338A">
        <w:rPr>
          <w:rStyle w:val="normaltextrun"/>
        </w:rPr>
        <w:t xml:space="preserve">£9m </w:t>
      </w:r>
      <w:r w:rsidRPr="00857311" w:rsidR="000D55A3">
        <w:rPr>
          <w:rStyle w:val="normaltextrun"/>
        </w:rPr>
        <w:t xml:space="preserve">to </w:t>
      </w:r>
      <w:r w:rsidRPr="00857311" w:rsidR="008C338A">
        <w:rPr>
          <w:rStyle w:val="normaltextrun"/>
        </w:rPr>
        <w:t xml:space="preserve">the fund.  Defra are confident following evaluation, via the year 1 Annual Review and strategic discussions in Executive Board meetings, that the GFCR continues to best the best option to meet the needs and objectives set out in the original Business Case. Furthermore, following </w:t>
      </w:r>
      <w:r w:rsidRPr="00857311" w:rsidR="000D55A3">
        <w:rPr>
          <w:rStyle w:val="normaltextrun"/>
        </w:rPr>
        <w:t>analysis of the financial needs of the Fund through discussion with the GFCR team</w:t>
      </w:r>
      <w:r w:rsidRPr="00857311" w:rsidR="008C338A">
        <w:rPr>
          <w:rStyle w:val="normaltextrun"/>
        </w:rPr>
        <w:t xml:space="preserve"> Defra </w:t>
      </w:r>
      <w:r w:rsidRPr="00857311" w:rsidR="000D55A3">
        <w:rPr>
          <w:rStyle w:val="normaltextrun"/>
        </w:rPr>
        <w:t xml:space="preserve">seeks to make the case for additional contribution to the Grant Fund where our public finance supports a focus on reducing poverty through sustainable livelihood diversification </w:t>
      </w:r>
      <w:r w:rsidRPr="00857311" w:rsidR="00934C73">
        <w:rPr>
          <w:rStyle w:val="normaltextrun"/>
        </w:rPr>
        <w:t xml:space="preserve">in ODA eligible countries, including </w:t>
      </w:r>
      <w:r w:rsidRPr="00857311" w:rsidR="000D55A3">
        <w:rPr>
          <w:rStyle w:val="normaltextrun"/>
        </w:rPr>
        <w:t>Small Island Developing States (SIDS).</w:t>
      </w:r>
    </w:p>
    <w:p w:rsidRPr="007E54DC" w:rsidR="00602BC4" w:rsidP="0A1AAE14" w:rsidRDefault="7CC8D467" w14:paraId="0A697735" w14:textId="5615F492">
      <w:pPr>
        <w:rPr>
          <w:rStyle w:val="normaltextrun"/>
          <w:rFonts w:ascii="Calibri" w:hAnsi="Calibri" w:eastAsia="Calibri" w:cs="Calibri"/>
          <w:color w:val="242424"/>
        </w:rPr>
      </w:pPr>
      <w:r w:rsidRPr="00857311">
        <w:rPr>
          <w:rFonts w:ascii="Calibri" w:hAnsi="Calibri" w:eastAsia="Calibri" w:cs="Calibri"/>
        </w:rPr>
        <w:t>Programmes</w:t>
      </w:r>
      <w:r w:rsidRPr="00857311" w:rsidR="00934C73">
        <w:rPr>
          <w:rFonts w:ascii="Calibri" w:hAnsi="Calibri" w:eastAsia="Calibri" w:cs="Calibri"/>
        </w:rPr>
        <w:t xml:space="preserve"> like the GFCR that</w:t>
      </w:r>
      <w:r w:rsidRPr="00857311">
        <w:rPr>
          <w:rFonts w:ascii="Calibri" w:hAnsi="Calibri" w:eastAsia="Calibri" w:cs="Calibri"/>
        </w:rPr>
        <w:t xml:space="preserve"> focus</w:t>
      </w:r>
      <w:r w:rsidRPr="00857311" w:rsidR="00934C73">
        <w:rPr>
          <w:rFonts w:ascii="Calibri" w:hAnsi="Calibri" w:eastAsia="Calibri" w:cs="Calibri"/>
        </w:rPr>
        <w:t xml:space="preserve"> primarily </w:t>
      </w:r>
      <w:r w:rsidRPr="00857311">
        <w:rPr>
          <w:rFonts w:ascii="Calibri" w:hAnsi="Calibri" w:eastAsia="Calibri" w:cs="Calibri"/>
        </w:rPr>
        <w:t xml:space="preserve">on SIDS </w:t>
      </w:r>
      <w:r w:rsidRPr="00857311" w:rsidR="006E2142">
        <w:rPr>
          <w:rFonts w:ascii="Calibri" w:hAnsi="Calibri" w:eastAsia="Calibri" w:cs="Calibri"/>
        </w:rPr>
        <w:t xml:space="preserve">must ensure </w:t>
      </w:r>
      <w:r w:rsidRPr="00857311">
        <w:rPr>
          <w:rFonts w:ascii="Calibri" w:hAnsi="Calibri" w:eastAsia="Calibri" w:cs="Calibri"/>
        </w:rPr>
        <w:t xml:space="preserve">a greater emphasis on enabling conditions to create reef positive solutions (both businesses and financial mechanisms) given the challenges faced by SIDS, relative to larger countries. As the GFCR advances its work on </w:t>
      </w:r>
      <w:r w:rsidRPr="00857311" w:rsidR="006E2142">
        <w:rPr>
          <w:rFonts w:ascii="Calibri" w:hAnsi="Calibri" w:eastAsia="Calibri" w:cs="Calibri"/>
        </w:rPr>
        <w:t xml:space="preserve">blue </w:t>
      </w:r>
      <w:r w:rsidRPr="00857311">
        <w:rPr>
          <w:rFonts w:ascii="Calibri" w:hAnsi="Calibri" w:eastAsia="Calibri" w:cs="Calibri"/>
        </w:rPr>
        <w:t xml:space="preserve">finance instruments (including </w:t>
      </w:r>
      <w:r w:rsidRPr="00857311" w:rsidR="6EB91A92">
        <w:rPr>
          <w:rFonts w:ascii="Calibri" w:hAnsi="Calibri" w:eastAsia="Calibri" w:cs="Calibri"/>
        </w:rPr>
        <w:t>for example,</w:t>
      </w:r>
      <w:r w:rsidRPr="00857311">
        <w:rPr>
          <w:rFonts w:ascii="Calibri" w:hAnsi="Calibri" w:eastAsia="Calibri" w:cs="Calibri"/>
        </w:rPr>
        <w:t xml:space="preserve"> debt instruments and others), SIDS are an important target for their deployment, particularly given their high debt and jurisdiction over large areas of the ocean</w:t>
      </w:r>
      <w:r w:rsidRPr="00857311" w:rsidR="00D746D4">
        <w:rPr>
          <w:rFonts w:ascii="Calibri" w:hAnsi="Calibri" w:eastAsia="Calibri" w:cs="Calibri"/>
        </w:rPr>
        <w:t>, in addition to the low capacity of governments and Non-State Actors</w:t>
      </w:r>
      <w:r w:rsidRPr="00857311">
        <w:rPr>
          <w:rFonts w:ascii="Calibri" w:hAnsi="Calibri" w:eastAsia="Calibri" w:cs="Calibri"/>
        </w:rPr>
        <w:t>. In addition, GFCR solutions focused on waste management are also particularly relevant for SIDS and can offer a high replication potential</w:t>
      </w:r>
      <w:r w:rsidRPr="007E54DC">
        <w:rPr>
          <w:rFonts w:ascii="Calibri" w:hAnsi="Calibri" w:eastAsia="Calibri" w:cs="Calibri"/>
          <w:color w:val="242424"/>
        </w:rPr>
        <w:t>.</w:t>
      </w:r>
    </w:p>
    <w:p w:rsidRPr="007E54DC" w:rsidR="007A28B8" w:rsidDel="003332DA" w:rsidP="5ECAFF4A" w:rsidRDefault="40958EF7" w14:paraId="7D850306" w14:textId="434C5F00">
      <w:pPr>
        <w:rPr>
          <w:rStyle w:val="normaltextrun"/>
        </w:rPr>
      </w:pPr>
      <w:r w:rsidRPr="007E54DC" w:rsidDel="003332DA">
        <w:rPr>
          <w:rStyle w:val="normaltextrun"/>
        </w:rPr>
        <w:t>T</w:t>
      </w:r>
      <w:r w:rsidRPr="007E54DC" w:rsidDel="003332DA" w:rsidR="11637666">
        <w:rPr>
          <w:rStyle w:val="normaltextrun"/>
        </w:rPr>
        <w:t xml:space="preserve">he UK has prioritised action </w:t>
      </w:r>
      <w:r w:rsidRPr="007E54DC" w:rsidDel="003332DA">
        <w:rPr>
          <w:rStyle w:val="normaltextrun"/>
        </w:rPr>
        <w:t xml:space="preserve">to support Marine Protected Areas (MPAs) and Other Effective Conservation Measures (OECMs) and has committed to utilise £100m </w:t>
      </w:r>
      <w:r w:rsidRPr="007E54DC" w:rsidDel="003332DA" w:rsidR="01B4F179">
        <w:rPr>
          <w:rStyle w:val="normaltextrun"/>
        </w:rPr>
        <w:t>throughout the lifetime of</w:t>
      </w:r>
      <w:r w:rsidRPr="007E54DC" w:rsidDel="003332DA">
        <w:rPr>
          <w:rStyle w:val="normaltextrun"/>
        </w:rPr>
        <w:t xml:space="preserve"> the </w:t>
      </w:r>
      <w:r w:rsidRPr="007E54DC" w:rsidDel="003332DA">
        <w:rPr>
          <w:rStyle w:val="normaltextrun"/>
        </w:rPr>
        <w:t>£500m BPF</w:t>
      </w:r>
      <w:r w:rsidRPr="007E54DC" w:rsidDel="003332DA" w:rsidR="0CA1CA28">
        <w:rPr>
          <w:rStyle w:val="normaltextrun"/>
        </w:rPr>
        <w:t xml:space="preserve"> </w:t>
      </w:r>
      <w:r w:rsidRPr="007E54DC" w:rsidDel="003332DA" w:rsidR="0CA1CA28">
        <w:rPr>
          <w:rFonts w:eastAsiaTheme="minorEastAsia"/>
          <w:color w:val="000000" w:themeColor="text1"/>
        </w:rPr>
        <w:t>(2024/25</w:t>
      </w:r>
      <w:r w:rsidRPr="007E54DC" w:rsidDel="003332DA" w:rsidR="0CA1CA28">
        <w:rPr>
          <w:rFonts w:ascii="Arial" w:hAnsi="Arial" w:eastAsia="Arial" w:cs="Arial"/>
          <w:color w:val="000000" w:themeColor="text1"/>
        </w:rPr>
        <w:t>)</w:t>
      </w:r>
      <w:r w:rsidRPr="007E54DC" w:rsidR="000635B5">
        <w:rPr>
          <w:rStyle w:val="FootnoteReference"/>
          <w:rFonts w:ascii="Arial" w:hAnsi="Arial" w:eastAsia="Arial" w:cs="Arial"/>
          <w:color w:val="000000" w:themeColor="text1"/>
        </w:rPr>
        <w:footnoteReference w:id="9"/>
      </w:r>
      <w:r w:rsidRPr="007E54DC" w:rsidDel="003332DA">
        <w:rPr>
          <w:rStyle w:val="normaltextrun"/>
        </w:rPr>
        <w:t xml:space="preserve">. The </w:t>
      </w:r>
      <w:r w:rsidRPr="007E54DC" w:rsidDel="003332DA" w:rsidR="10EB2968">
        <w:rPr>
          <w:rStyle w:val="normaltextrun"/>
        </w:rPr>
        <w:t xml:space="preserve">current </w:t>
      </w:r>
      <w:r w:rsidRPr="007E54DC" w:rsidDel="003332DA">
        <w:rPr>
          <w:rStyle w:val="normaltextrun"/>
        </w:rPr>
        <w:t xml:space="preserve">portfolio of BPF interventions to support this outcome </w:t>
      </w:r>
      <w:r w:rsidRPr="007E54DC" w:rsidDel="003332DA" w:rsidR="27227547">
        <w:rPr>
          <w:rStyle w:val="normaltextrun"/>
        </w:rPr>
        <w:t xml:space="preserve">strategically </w:t>
      </w:r>
      <w:r w:rsidRPr="007E54DC" w:rsidDel="003332DA" w:rsidR="557BA636">
        <w:rPr>
          <w:rStyle w:val="normaltextrun"/>
        </w:rPr>
        <w:t xml:space="preserve">combines </w:t>
      </w:r>
      <w:r w:rsidRPr="007E54DC" w:rsidDel="003332DA" w:rsidR="27227547">
        <w:rPr>
          <w:rStyle w:val="normaltextrun"/>
        </w:rPr>
        <w:t>a mixture of small</w:t>
      </w:r>
      <w:r w:rsidRPr="007E54DC" w:rsidR="567115EB">
        <w:rPr>
          <w:rStyle w:val="normaltextrun"/>
        </w:rPr>
        <w:t>-</w:t>
      </w:r>
      <w:r w:rsidRPr="007E54DC" w:rsidDel="003332DA" w:rsidR="27227547">
        <w:rPr>
          <w:rStyle w:val="normaltextrun"/>
        </w:rPr>
        <w:t xml:space="preserve">scale grant finance projects with support to larger scale transboundary efforts, and utilises a combination of delivery partners, </w:t>
      </w:r>
      <w:r w:rsidRPr="007E54DC" w:rsidDel="003332DA" w:rsidR="567115EB">
        <w:rPr>
          <w:rStyle w:val="normaltextrun"/>
        </w:rPr>
        <w:t>e.g.,</w:t>
      </w:r>
      <w:r w:rsidRPr="007E54DC" w:rsidDel="003332DA" w:rsidR="27227547">
        <w:rPr>
          <w:rStyle w:val="normaltextrun"/>
        </w:rPr>
        <w:t xml:space="preserve"> Non-Governmental Organisations</w:t>
      </w:r>
      <w:r w:rsidRPr="007E54DC" w:rsidDel="003332DA" w:rsidR="6AE29122">
        <w:rPr>
          <w:rStyle w:val="normaltextrun"/>
        </w:rPr>
        <w:t xml:space="preserve"> (NGO)</w:t>
      </w:r>
      <w:r w:rsidRPr="007E54DC" w:rsidDel="003332DA" w:rsidR="27227547">
        <w:rPr>
          <w:rStyle w:val="normaltextrun"/>
        </w:rPr>
        <w:t xml:space="preserve"> and Multilateral Development Banks</w:t>
      </w:r>
      <w:r w:rsidRPr="007E54DC" w:rsidDel="003332DA" w:rsidR="6AE29122">
        <w:rPr>
          <w:rStyle w:val="normaltextrun"/>
        </w:rPr>
        <w:t xml:space="preserve"> (MDB)</w:t>
      </w:r>
      <w:r w:rsidRPr="007E54DC" w:rsidDel="003332DA" w:rsidR="10EB2968">
        <w:rPr>
          <w:rStyle w:val="normaltextrun"/>
        </w:rPr>
        <w:t>. T</w:t>
      </w:r>
      <w:r w:rsidRPr="007E54DC" w:rsidDel="003332DA" w:rsidR="27227547">
        <w:rPr>
          <w:rStyle w:val="normaltextrun"/>
        </w:rPr>
        <w:t xml:space="preserve">he GFCR, </w:t>
      </w:r>
      <w:r w:rsidRPr="007E54DC" w:rsidDel="003332DA" w:rsidR="10EB2968">
        <w:rPr>
          <w:rStyle w:val="normaltextrun"/>
        </w:rPr>
        <w:t xml:space="preserve">as a </w:t>
      </w:r>
      <w:r w:rsidRPr="007E54DC" w:rsidDel="003332DA" w:rsidR="27227547">
        <w:rPr>
          <w:rStyle w:val="normaltextrun"/>
        </w:rPr>
        <w:t>UN led MPTF</w:t>
      </w:r>
      <w:r w:rsidRPr="007E54DC" w:rsidDel="003332DA" w:rsidR="557BA636">
        <w:rPr>
          <w:rStyle w:val="normaltextrun"/>
        </w:rPr>
        <w:t>,</w:t>
      </w:r>
      <w:r w:rsidRPr="007E54DC" w:rsidDel="003332DA" w:rsidR="10EB2968">
        <w:rPr>
          <w:rStyle w:val="normaltextrun"/>
        </w:rPr>
        <w:t xml:space="preserve"> deliver</w:t>
      </w:r>
      <w:r w:rsidRPr="007E54DC" w:rsidDel="003332DA" w:rsidR="557BA636">
        <w:rPr>
          <w:rStyle w:val="normaltextrun"/>
        </w:rPr>
        <w:t>s</w:t>
      </w:r>
      <w:r w:rsidRPr="007E54DC" w:rsidDel="003332DA" w:rsidR="10EB2968">
        <w:rPr>
          <w:rStyle w:val="normaltextrun"/>
        </w:rPr>
        <w:t xml:space="preserve"> project scale grant finance that also leverage</w:t>
      </w:r>
      <w:r w:rsidRPr="007E54DC" w:rsidDel="003332DA" w:rsidR="557BA636">
        <w:rPr>
          <w:rStyle w:val="normaltextrun"/>
        </w:rPr>
        <w:t>s</w:t>
      </w:r>
      <w:r w:rsidRPr="007E54DC" w:rsidDel="003332DA" w:rsidR="10EB2968">
        <w:rPr>
          <w:rStyle w:val="normaltextrun"/>
        </w:rPr>
        <w:t xml:space="preserve"> additional investment</w:t>
      </w:r>
      <w:r w:rsidRPr="007E54DC" w:rsidDel="003332DA" w:rsidR="4BACE95C">
        <w:rPr>
          <w:rStyle w:val="normaltextrun"/>
        </w:rPr>
        <w:t>,</w:t>
      </w:r>
      <w:r w:rsidRPr="007E54DC" w:rsidDel="003332DA" w:rsidR="10EB2968">
        <w:rPr>
          <w:rStyle w:val="normaltextrun"/>
        </w:rPr>
        <w:t xml:space="preserve"> </w:t>
      </w:r>
      <w:r w:rsidRPr="007E54DC" w:rsidDel="003332DA" w:rsidR="557BA636">
        <w:rPr>
          <w:rStyle w:val="normaltextrun"/>
        </w:rPr>
        <w:t xml:space="preserve">and it </w:t>
      </w:r>
      <w:r w:rsidRPr="007E54DC" w:rsidDel="003332DA" w:rsidR="10EB2968">
        <w:rPr>
          <w:rStyle w:val="normaltextrun"/>
        </w:rPr>
        <w:t xml:space="preserve">continues to be a strong fit with this </w:t>
      </w:r>
      <w:r w:rsidRPr="007E54DC" w:rsidDel="003332DA" w:rsidR="557BA636">
        <w:rPr>
          <w:rStyle w:val="normaltextrun"/>
        </w:rPr>
        <w:t xml:space="preserve">varied </w:t>
      </w:r>
      <w:r w:rsidRPr="007E54DC" w:rsidDel="003332DA" w:rsidR="10EB2968">
        <w:rPr>
          <w:rStyle w:val="normaltextrun"/>
        </w:rPr>
        <w:t xml:space="preserve">MPA and OECM portfolio </w:t>
      </w:r>
      <w:r w:rsidRPr="007E54DC" w:rsidDel="003332DA" w:rsidR="557BA636">
        <w:rPr>
          <w:rStyle w:val="normaltextrun"/>
        </w:rPr>
        <w:t xml:space="preserve">as it develops </w:t>
      </w:r>
      <w:r w:rsidRPr="007E54DC" w:rsidDel="003332DA" w:rsidR="10EB2968">
        <w:rPr>
          <w:rStyle w:val="normaltextrun"/>
        </w:rPr>
        <w:t>as well as delivering on the embedded and cross cutting enabler of ocean finance</w:t>
      </w:r>
      <w:r w:rsidRPr="007E54DC" w:rsidDel="003332DA" w:rsidR="557BA636">
        <w:rPr>
          <w:rStyle w:val="normaltextrun"/>
        </w:rPr>
        <w:t xml:space="preserve"> under the wider BPF</w:t>
      </w:r>
      <w:r w:rsidRPr="007E54DC" w:rsidDel="003332DA" w:rsidR="10EB2968">
        <w:rPr>
          <w:rStyle w:val="normaltextrun"/>
        </w:rPr>
        <w:t>.</w:t>
      </w:r>
    </w:p>
    <w:p w:rsidRPr="007E54DC" w:rsidR="00D15D16" w:rsidP="0022760D" w:rsidRDefault="006432B5" w14:paraId="5669A33A" w14:textId="48D44FA4" w14:noSpellErr="1">
      <w:pPr>
        <w:pStyle w:val="Heading2"/>
        <w:rPr/>
      </w:pPr>
      <w:bookmarkStart w:name="_What_is_the" w:id="6"/>
      <w:bookmarkStart w:name="_Toc111401974" w:id="7"/>
      <w:bookmarkEnd w:id="6"/>
      <w:bookmarkStart w:name="_Toc1507367372" w:id="1369864766"/>
      <w:r w:rsidR="006432B5">
        <w:rPr/>
        <w:t xml:space="preserve">Section 1.2: </w:t>
      </w:r>
      <w:r w:rsidR="00D15D16">
        <w:rPr/>
        <w:t xml:space="preserve">What is the </w:t>
      </w:r>
      <w:r w:rsidR="00D15D16">
        <w:rPr/>
        <w:t>objective</w:t>
      </w:r>
      <w:r w:rsidR="00D15D16">
        <w:rPr/>
        <w:t xml:space="preserve"> of the cost extension or other changes?</w:t>
      </w:r>
      <w:bookmarkEnd w:id="7"/>
      <w:bookmarkEnd w:id="1369864766"/>
    </w:p>
    <w:p w:rsidRPr="007E54DC" w:rsidR="00F53D4D" w:rsidP="006E2142" w:rsidRDefault="003332DA" w14:paraId="0AAAA020" w14:textId="62042800" w14:noSpellErr="1">
      <w:pPr>
        <w:pStyle w:val="Heading3"/>
        <w:rPr/>
      </w:pPr>
      <w:bookmarkStart w:name="_Toc877874296" w:id="1124504654"/>
      <w:r w:rsidR="003332DA">
        <w:rPr/>
        <w:t xml:space="preserve">Objective 1 - </w:t>
      </w:r>
      <w:r w:rsidR="00B03E05">
        <w:rPr/>
        <w:t xml:space="preserve">Contribution </w:t>
      </w:r>
      <w:r w:rsidR="00F53D4D">
        <w:rPr/>
        <w:t>to HMT objectives</w:t>
      </w:r>
      <w:bookmarkEnd w:id="1124504654"/>
    </w:p>
    <w:p w:rsidRPr="007E54DC" w:rsidR="006E2142" w:rsidP="006E2142" w:rsidRDefault="00602BC4" w14:paraId="2E04970E" w14:textId="01C66A02">
      <w:pPr>
        <w:rPr>
          <w:lang w:eastAsia="en-GB"/>
        </w:rPr>
      </w:pPr>
      <w:r w:rsidRPr="007E54DC">
        <w:rPr>
          <w:lang w:eastAsia="en-GB"/>
        </w:rPr>
        <w:t>The GFCR continues to be the only coral-reef focused blended finance model, differing from, but compl</w:t>
      </w:r>
      <w:r w:rsidRPr="007E54DC" w:rsidR="006E2142">
        <w:rPr>
          <w:lang w:eastAsia="en-GB"/>
        </w:rPr>
        <w:t>e</w:t>
      </w:r>
      <w:r w:rsidRPr="007E54DC">
        <w:rPr>
          <w:lang w:eastAsia="en-GB"/>
        </w:rPr>
        <w:t>menting other initiatives</w:t>
      </w:r>
      <w:r w:rsidRPr="007E54DC" w:rsidR="006E2142">
        <w:rPr>
          <w:lang w:eastAsia="en-GB"/>
        </w:rPr>
        <w:t xml:space="preserve"> within the BPF portfolio</w:t>
      </w:r>
      <w:r w:rsidRPr="007E54DC">
        <w:rPr>
          <w:lang w:eastAsia="en-GB"/>
        </w:rPr>
        <w:t xml:space="preserve"> such as </w:t>
      </w:r>
      <w:r w:rsidRPr="007E54DC" w:rsidR="006E2142">
        <w:rPr>
          <w:lang w:eastAsia="en-GB"/>
        </w:rPr>
        <w:t>PROBLUE</w:t>
      </w:r>
      <w:r w:rsidRPr="007E54DC">
        <w:rPr>
          <w:lang w:eastAsia="en-GB"/>
        </w:rPr>
        <w:t xml:space="preserve"> and the Ocean Risk and Resilience Action Alliance (ORRAA) </w:t>
      </w:r>
      <w:r w:rsidRPr="007E54DC" w:rsidR="006E2142">
        <w:rPr>
          <w:lang w:eastAsia="en-GB"/>
        </w:rPr>
        <w:t xml:space="preserve">and outside such as the Blue Action Fund </w:t>
      </w:r>
      <w:r w:rsidRPr="007E54DC">
        <w:rPr>
          <w:lang w:eastAsia="en-GB"/>
        </w:rPr>
        <w:t xml:space="preserve">(Annex </w:t>
      </w:r>
      <w:r w:rsidRPr="007E54DC" w:rsidR="00D05E86">
        <w:rPr>
          <w:lang w:eastAsia="en-GB"/>
        </w:rPr>
        <w:t>B</w:t>
      </w:r>
      <w:r w:rsidRPr="007E54DC">
        <w:rPr>
          <w:lang w:eastAsia="en-GB"/>
        </w:rPr>
        <w:t xml:space="preserve">).  The GFCR targets sites where reefs are the most resilient and interventions can reverse their degradation. The science concludes that this will give </w:t>
      </w:r>
      <w:r w:rsidRPr="007E54DC" w:rsidR="006E2142">
        <w:rPr>
          <w:lang w:eastAsia="en-GB"/>
        </w:rPr>
        <w:t xml:space="preserve">a </w:t>
      </w:r>
      <w:r w:rsidRPr="007E54DC">
        <w:rPr>
          <w:lang w:eastAsia="en-GB"/>
        </w:rPr>
        <w:t xml:space="preserve">coral biome the best chance of adaptation and survival, as well as offering the best </w:t>
      </w:r>
      <w:proofErr w:type="spellStart"/>
      <w:r w:rsidRPr="007E54DC">
        <w:rPr>
          <w:lang w:eastAsia="en-GB"/>
        </w:rPr>
        <w:t>VfM</w:t>
      </w:r>
      <w:proofErr w:type="spellEnd"/>
      <w:r w:rsidRPr="007E54DC">
        <w:rPr>
          <w:lang w:eastAsia="en-GB"/>
        </w:rPr>
        <w:t>.   </w:t>
      </w:r>
    </w:p>
    <w:p w:rsidRPr="007E54DC" w:rsidR="00602BC4" w:rsidP="006E2142" w:rsidRDefault="00602BC4" w14:paraId="329E1058" w14:textId="54FAA123">
      <w:pPr>
        <w:spacing w:after="0"/>
        <w:textAlignment w:val="baseline"/>
        <w:rPr>
          <w:rStyle w:val="normaltextrun"/>
          <w:rFonts w:eastAsia="Times New Roman" w:cstheme="minorHAnsi"/>
          <w:lang w:eastAsia="en-GB"/>
        </w:rPr>
      </w:pPr>
      <w:r w:rsidRPr="007E54DC">
        <w:rPr>
          <w:rStyle w:val="eop"/>
          <w:rFonts w:cstheme="minorHAnsi"/>
        </w:rPr>
        <w:t>T</w:t>
      </w:r>
      <w:r w:rsidRPr="007E54DC">
        <w:rPr>
          <w:rStyle w:val="normaltextrun"/>
          <w:rFonts w:cstheme="minorHAnsi"/>
        </w:rPr>
        <w:t>he GFCR has strong alignment with the Blue Planet Fund (BPF) objectives at multiple levels of the BPF structure:</w:t>
      </w:r>
    </w:p>
    <w:p w:rsidRPr="007E54DC" w:rsidR="00602BC4" w:rsidP="006628DE" w:rsidRDefault="47C50BBB" w14:paraId="74E5BE88" w14:textId="4D8F1C5B">
      <w:pPr>
        <w:pStyle w:val="ListParagraph"/>
        <w:numPr>
          <w:ilvl w:val="0"/>
          <w:numId w:val="10"/>
        </w:numPr>
        <w:rPr>
          <w:rStyle w:val="normaltextrun"/>
          <w:color w:val="auto"/>
          <w:shd w:val="clear" w:color="auto" w:fill="auto"/>
        </w:rPr>
      </w:pPr>
      <w:r w:rsidRPr="007E54DC">
        <w:rPr>
          <w:rStyle w:val="normaltextrun"/>
        </w:rPr>
        <w:t xml:space="preserve">It contributes towards the Defra priority outcomes of Marine Protected Areas and Other effective Conservation Measures, and Pollution (Annex </w:t>
      </w:r>
      <w:r w:rsidRPr="007E54DC" w:rsidR="00CB2B7A">
        <w:rPr>
          <w:rStyle w:val="normaltextrun"/>
        </w:rPr>
        <w:t>C</w:t>
      </w:r>
      <w:r w:rsidRPr="007E54DC">
        <w:rPr>
          <w:rStyle w:val="normaltextrun"/>
        </w:rPr>
        <w:t>)</w:t>
      </w:r>
    </w:p>
    <w:p w:rsidRPr="007E54DC" w:rsidR="00602BC4" w:rsidP="006628DE" w:rsidRDefault="47C50BBB" w14:paraId="2CCB5AF2" w14:textId="11A01F32">
      <w:pPr>
        <w:pStyle w:val="ListParagraph"/>
        <w:numPr>
          <w:ilvl w:val="0"/>
          <w:numId w:val="10"/>
        </w:numPr>
        <w:rPr>
          <w:rStyle w:val="normaltextrun"/>
          <w:color w:val="auto"/>
          <w:shd w:val="clear" w:color="auto" w:fill="auto"/>
        </w:rPr>
      </w:pPr>
      <w:r w:rsidRPr="007E54DC">
        <w:rPr>
          <w:rStyle w:val="normaltextrun"/>
        </w:rPr>
        <w:t>Supports the cross</w:t>
      </w:r>
      <w:r w:rsidRPr="007E54DC" w:rsidR="00CA7BED">
        <w:rPr>
          <w:rStyle w:val="normaltextrun"/>
        </w:rPr>
        <w:t>-</w:t>
      </w:r>
      <w:r w:rsidRPr="007E54DC">
        <w:rPr>
          <w:rStyle w:val="normaltextrun"/>
        </w:rPr>
        <w:t>cutting enablers of finance mobilisation and support to SIDs</w:t>
      </w:r>
    </w:p>
    <w:p w:rsidRPr="007E54DC" w:rsidR="00602BC4" w:rsidP="006628DE" w:rsidRDefault="47C50BBB" w14:paraId="106CD35A" w14:textId="77777777">
      <w:pPr>
        <w:pStyle w:val="ListParagraph"/>
        <w:numPr>
          <w:ilvl w:val="0"/>
          <w:numId w:val="10"/>
        </w:numPr>
        <w:rPr>
          <w:rStyle w:val="normaltextrun"/>
          <w:color w:val="auto"/>
          <w:shd w:val="clear" w:color="auto" w:fill="auto"/>
        </w:rPr>
      </w:pPr>
      <w:r w:rsidRPr="007E54DC">
        <w:rPr>
          <w:rStyle w:val="normaltextrun"/>
        </w:rPr>
        <w:t>Delivers on the shared themes of marine biodiversity, climate change, and marine pollution.</w:t>
      </w:r>
    </w:p>
    <w:p w:rsidRPr="007E54DC" w:rsidR="00602BC4" w:rsidP="006628DE" w:rsidRDefault="47C50BBB" w14:paraId="39F4EA94" w14:textId="77777777">
      <w:pPr>
        <w:pStyle w:val="ListParagraph"/>
        <w:numPr>
          <w:ilvl w:val="0"/>
          <w:numId w:val="10"/>
        </w:numPr>
        <w:rPr>
          <w:rStyle w:val="normaltextrun"/>
        </w:rPr>
      </w:pPr>
      <w:r w:rsidRPr="007E54DC">
        <w:rPr>
          <w:rStyle w:val="normaltextrun"/>
        </w:rPr>
        <w:t>Meets our commitment to supporting ODA eligible projects with clear management actions to address reefs under threat and alleviate poverty.</w:t>
      </w:r>
    </w:p>
    <w:p w:rsidRPr="007E54DC" w:rsidR="003C32FE" w:rsidP="006E2142" w:rsidRDefault="00602BC4" w14:paraId="5716532C" w14:textId="0D8B9E4C">
      <w:pPr>
        <w:rPr>
          <w:rStyle w:val="eop"/>
          <w:rFonts w:cstheme="minorHAnsi"/>
          <w:i/>
          <w:iCs/>
          <w:color w:val="0B0C0C"/>
          <w:shd w:val="clear" w:color="auto" w:fill="FFFFFF"/>
        </w:rPr>
      </w:pPr>
      <w:r w:rsidRPr="007E54DC">
        <w:rPr>
          <w:rFonts w:eastAsia="Times New Roman"/>
          <w:lang w:eastAsia="en-GB"/>
        </w:rPr>
        <w:t xml:space="preserve">Providing further UK support </w:t>
      </w:r>
      <w:r w:rsidRPr="007E54DC" w:rsidR="00F53D4D">
        <w:rPr>
          <w:rStyle w:val="normaltextrun"/>
          <w:rFonts w:cstheme="minorHAnsi"/>
          <w:color w:val="000000"/>
          <w:shd w:val="clear" w:color="auto" w:fill="FFFFFF"/>
        </w:rPr>
        <w:t>will directly contribute to Defra’s organisational objective “</w:t>
      </w:r>
      <w:r w:rsidRPr="007E54DC" w:rsidR="00F53D4D">
        <w:rPr>
          <w:rStyle w:val="normaltextrun"/>
          <w:rFonts w:cstheme="minorHAnsi"/>
          <w:i/>
          <w:iCs/>
          <w:color w:val="000000"/>
          <w:shd w:val="clear" w:color="auto" w:fill="FFFFFF"/>
        </w:rPr>
        <w:t>to pass on to the next generation a natural environment protected and enhanced for the future</w:t>
      </w:r>
      <w:r w:rsidRPr="007E54DC" w:rsidR="00F53D4D">
        <w:rPr>
          <w:rStyle w:val="normaltextrun"/>
          <w:rFonts w:cstheme="minorHAnsi"/>
          <w:color w:val="000000"/>
          <w:shd w:val="clear" w:color="auto" w:fill="FFFFFF"/>
        </w:rPr>
        <w:t>”, guided by the overarching BPF impact statement “</w:t>
      </w:r>
      <w:r w:rsidRPr="007E54DC" w:rsidR="00F53D4D">
        <w:rPr>
          <w:rStyle w:val="normaltextrun"/>
          <w:rFonts w:cstheme="minorHAnsi"/>
          <w:i/>
          <w:iCs/>
          <w:color w:val="000000"/>
          <w:shd w:val="clear" w:color="auto" w:fill="FFFFFF"/>
        </w:rPr>
        <w:t>to protect and enhance marine ecosystems through the sustainable management of ocean resources, to reduce poverty in developing countries</w:t>
      </w:r>
      <w:r w:rsidRPr="007E54DC" w:rsidR="00F53D4D">
        <w:rPr>
          <w:rStyle w:val="normaltextrun"/>
          <w:rFonts w:cstheme="minorHAnsi"/>
          <w:color w:val="000000"/>
          <w:shd w:val="clear" w:color="auto" w:fill="FFFFFF"/>
        </w:rPr>
        <w:t>”.</w:t>
      </w:r>
      <w:r w:rsidRPr="007E54DC" w:rsidR="00DC64CC">
        <w:rPr>
          <w:rStyle w:val="normaltextrun"/>
          <w:rFonts w:cstheme="minorHAnsi"/>
          <w:color w:val="000000"/>
          <w:shd w:val="clear" w:color="auto" w:fill="FFFFFF"/>
        </w:rPr>
        <w:t xml:space="preserve"> The GFCR</w:t>
      </w:r>
      <w:r w:rsidRPr="007E54DC" w:rsidR="00F53D4D">
        <w:rPr>
          <w:rStyle w:val="normaltextrun"/>
          <w:rFonts w:cstheme="minorHAnsi"/>
          <w:color w:val="000000"/>
          <w:shd w:val="clear" w:color="auto" w:fill="FFFFFF"/>
        </w:rPr>
        <w:t xml:space="preserve"> also contributes to Defra’s Priority outcome 1 “</w:t>
      </w:r>
      <w:r w:rsidRPr="007E54DC" w:rsidR="00F53D4D">
        <w:rPr>
          <w:rStyle w:val="normaltextrun"/>
          <w:rFonts w:cstheme="minorHAnsi"/>
          <w:i/>
          <w:iCs/>
          <w:color w:val="0B0C0C"/>
          <w:shd w:val="clear" w:color="auto" w:fill="FFFFFF"/>
        </w:rPr>
        <w:t>Improve the environment through cleaner air and water, minimised waste, and thriving plants and terrestrial and marine wildlife</w:t>
      </w:r>
      <w:r w:rsidRPr="007E54DC" w:rsidR="00F53D4D">
        <w:rPr>
          <w:rStyle w:val="normaltextrun"/>
          <w:rFonts w:cstheme="minorHAnsi"/>
          <w:color w:val="0B0C0C"/>
          <w:shd w:val="clear" w:color="auto" w:fill="FFFFFF"/>
        </w:rPr>
        <w:t>”</w:t>
      </w:r>
      <w:r w:rsidRPr="007E54DC" w:rsidR="00F53D4D">
        <w:rPr>
          <w:rStyle w:val="eop"/>
          <w:rFonts w:cstheme="minorHAnsi"/>
          <w:i/>
          <w:iCs/>
          <w:color w:val="0B0C0C"/>
          <w:shd w:val="clear" w:color="auto" w:fill="FFFFFF"/>
        </w:rPr>
        <w:t> </w:t>
      </w:r>
    </w:p>
    <w:p w:rsidRPr="007E54DC" w:rsidR="00205BF1" w:rsidP="006E2142" w:rsidRDefault="00205BF1" w14:paraId="49FE944C" w14:textId="77777777">
      <w:pPr>
        <w:rPr>
          <w:rFonts w:eastAsia="Arial" w:cs="Times New Roman"/>
        </w:rPr>
      </w:pPr>
      <w:r w:rsidRPr="007E54DC">
        <w:rPr>
          <w:rFonts w:eastAsia="Arial" w:cs="Times New Roman"/>
        </w:rPr>
        <w:t>Furthermore, supporting the GFCR shows clear alignment with wider UK Government (HMG) objectives:</w:t>
      </w:r>
    </w:p>
    <w:p w:rsidRPr="007E54DC" w:rsidR="00205BF1" w:rsidP="00205BF1" w:rsidRDefault="00205BF1" w14:paraId="47664CE0" w14:textId="176A74D9">
      <w:pPr>
        <w:pStyle w:val="ListParagraph"/>
        <w:numPr>
          <w:ilvl w:val="0"/>
          <w:numId w:val="41"/>
        </w:numPr>
        <w:rPr>
          <w:rStyle w:val="normaltextrun"/>
          <w:rFonts w:cstheme="minorHAnsi"/>
          <w:color w:val="0B0C0C"/>
        </w:rPr>
      </w:pPr>
      <w:r w:rsidRPr="007E54DC">
        <w:rPr>
          <w:rFonts w:eastAsia="Arial" w:cs="Times New Roman"/>
        </w:rPr>
        <w:t xml:space="preserve">Within the 2020 Integrated Review (IR), HMG committed </w:t>
      </w:r>
      <w:r w:rsidRPr="007E54DC" w:rsidR="00324E59">
        <w:rPr>
          <w:rFonts w:eastAsia="Arial" w:cs="Times New Roman"/>
        </w:rPr>
        <w:t xml:space="preserve">to </w:t>
      </w:r>
      <w:r w:rsidRPr="007E54DC">
        <w:rPr>
          <w:rFonts w:eastAsia="Arial" w:cs="Times New Roman"/>
        </w:rPr>
        <w:t>continue to act as</w:t>
      </w:r>
      <w:r w:rsidRPr="007E54DC" w:rsidR="00324E59">
        <w:rPr>
          <w:rFonts w:eastAsia="Arial" w:cs="Times New Roman"/>
        </w:rPr>
        <w:t xml:space="preserve"> a world-leading international development donor and </w:t>
      </w:r>
      <w:r w:rsidRPr="007E54DC">
        <w:rPr>
          <w:rFonts w:eastAsia="Arial" w:cs="Times New Roman"/>
        </w:rPr>
        <w:t xml:space="preserve">contribute to </w:t>
      </w:r>
      <w:r w:rsidRPr="007E54DC" w:rsidR="00324E59">
        <w:rPr>
          <w:rFonts w:eastAsia="Arial" w:cs="Times New Roman"/>
        </w:rPr>
        <w:t>achieving the UN Sustainable Development Goals (SDGs) by 203</w:t>
      </w:r>
      <w:r w:rsidRPr="007E54DC">
        <w:rPr>
          <w:rFonts w:eastAsia="Arial" w:cs="Times New Roman"/>
        </w:rPr>
        <w:t>0</w:t>
      </w:r>
      <w:r w:rsidRPr="007E54DC">
        <w:rPr>
          <w:rStyle w:val="normaltextrun"/>
        </w:rPr>
        <w:t>.</w:t>
      </w:r>
    </w:p>
    <w:p w:rsidRPr="007E54DC" w:rsidR="00324E59" w:rsidP="00205BF1" w:rsidRDefault="00205BF1" w14:paraId="61D58EC5" w14:textId="2005692E">
      <w:pPr>
        <w:pStyle w:val="ListParagraph"/>
        <w:numPr>
          <w:ilvl w:val="0"/>
          <w:numId w:val="41"/>
        </w:numPr>
        <w:rPr>
          <w:rStyle w:val="eop"/>
          <w:rFonts w:cstheme="minorHAnsi"/>
          <w:color w:val="0B0C0C"/>
        </w:rPr>
      </w:pPr>
      <w:r w:rsidRPr="007E54DC">
        <w:rPr>
          <w:rFonts w:eastAsia="Arial" w:cs="Times New Roman"/>
        </w:rPr>
        <w:t xml:space="preserve">Building on the IR, the </w:t>
      </w:r>
      <w:r w:rsidRPr="007E54DC" w:rsidR="00324E59">
        <w:rPr>
          <w:rFonts w:eastAsia="Arial" w:cs="Times New Roman"/>
        </w:rPr>
        <w:t>2022 International Development Strategy (IDS) detai</w:t>
      </w:r>
      <w:r w:rsidRPr="007E54DC">
        <w:rPr>
          <w:rFonts w:eastAsia="Arial" w:cs="Times New Roman"/>
        </w:rPr>
        <w:t>ls</w:t>
      </w:r>
      <w:r w:rsidRPr="007E54DC" w:rsidR="00324E59">
        <w:rPr>
          <w:rFonts w:eastAsia="Arial" w:cs="Times New Roman"/>
        </w:rPr>
        <w:t xml:space="preserve"> HMG’s priorities to ensure UK official development assistance (ODA) integrates climate and biodiversity goals.</w:t>
      </w:r>
    </w:p>
    <w:p w:rsidRPr="007E54DC" w:rsidR="00602BC4" w:rsidP="006E2142" w:rsidRDefault="00B03E05" w14:paraId="6620E438" w14:textId="0123B7AD" w14:noSpellErr="1">
      <w:pPr>
        <w:pStyle w:val="Heading3"/>
        <w:rPr>
          <w:lang w:eastAsia="en-GB"/>
        </w:rPr>
      </w:pPr>
      <w:bookmarkStart w:name="_Toc729369017" w:id="1698630170"/>
      <w:r w:rsidRPr="6EF7DA90" w:rsidR="00B03E05">
        <w:rPr>
          <w:lang w:eastAsia="en-GB"/>
        </w:rPr>
        <w:t>Objective 2 – Provision of support to GFCR projects</w:t>
      </w:r>
      <w:bookmarkEnd w:id="1698630170"/>
    </w:p>
    <w:p w:rsidRPr="007E54DC" w:rsidR="00D15D16" w:rsidP="006E2142" w:rsidRDefault="00D15D16" w14:paraId="2DA7DC23" w14:textId="1471A96A">
      <w:pPr>
        <w:rPr>
          <w:rStyle w:val="normaltextrun"/>
        </w:rPr>
      </w:pPr>
      <w:r w:rsidRPr="007E54DC">
        <w:rPr>
          <w:rStyle w:val="normaltextrun"/>
        </w:rPr>
        <w:t xml:space="preserve">The primary objective of the GFCR remains the same since coral reefs and the communities that depend on them remain under significant threat. The Fund continues to develop a strong pipeline of projects and investment opportunities to deliver on that and now seeks more funding to support that </w:t>
      </w:r>
      <w:r w:rsidRPr="007E54DC" w:rsidR="008C2D12">
        <w:rPr>
          <w:rStyle w:val="normaltextrun"/>
        </w:rPr>
        <w:t xml:space="preserve">expanding </w:t>
      </w:r>
      <w:r w:rsidRPr="007E54DC">
        <w:rPr>
          <w:rStyle w:val="normaltextrun"/>
        </w:rPr>
        <w:t xml:space="preserve">pipeline. </w:t>
      </w:r>
      <w:r w:rsidRPr="007E54DC" w:rsidR="008C2D12">
        <w:rPr>
          <w:rStyle w:val="normaltextrun"/>
        </w:rPr>
        <w:t>Given that b</w:t>
      </w:r>
      <w:r w:rsidRPr="007E54DC">
        <w:rPr>
          <w:rStyle w:val="normaltextrun"/>
        </w:rPr>
        <w:t>y the end of 2021 the GFCR had utilised 73% of its funding, either disbursing to delivery partners or through the funds administration</w:t>
      </w:r>
      <w:r w:rsidRPr="007E54DC" w:rsidR="008C2D12">
        <w:rPr>
          <w:rStyle w:val="normaltextrun"/>
        </w:rPr>
        <w:t xml:space="preserve"> and</w:t>
      </w:r>
      <w:r w:rsidRPr="007E54DC">
        <w:rPr>
          <w:rStyle w:val="normaltextrun"/>
        </w:rPr>
        <w:t xml:space="preserve"> 99% of funding </w:t>
      </w:r>
      <w:r w:rsidRPr="007E54DC" w:rsidR="008C2D12">
        <w:rPr>
          <w:rStyle w:val="normaltextrun"/>
        </w:rPr>
        <w:t xml:space="preserve">that was allocated to programming had </w:t>
      </w:r>
      <w:r w:rsidRPr="007E54DC">
        <w:rPr>
          <w:rStyle w:val="normaltextrun"/>
        </w:rPr>
        <w:t xml:space="preserve">been </w:t>
      </w:r>
      <w:r w:rsidRPr="007E54DC" w:rsidR="008C2D12">
        <w:rPr>
          <w:rStyle w:val="normaltextrun"/>
        </w:rPr>
        <w:t>assigned</w:t>
      </w:r>
      <w:r w:rsidRPr="007E54DC">
        <w:rPr>
          <w:rStyle w:val="normaltextrun"/>
        </w:rPr>
        <w:t xml:space="preserve"> to approved projects</w:t>
      </w:r>
      <w:r w:rsidRPr="007E54DC" w:rsidR="008C2D12">
        <w:rPr>
          <w:rStyle w:val="normaltextrun"/>
        </w:rPr>
        <w:t>, we consider the need for additional funding at this stage to be strong and this is further demonstrated below (Table 1)</w:t>
      </w:r>
      <w:r w:rsidRPr="007E54DC">
        <w:rPr>
          <w:rStyle w:val="normaltextrun"/>
        </w:rPr>
        <w:t>.</w:t>
      </w:r>
      <w:r w:rsidRPr="007E54DC" w:rsidR="00AC2412">
        <w:rPr>
          <w:rStyle w:val="normaltextrun"/>
        </w:rPr>
        <w:t xml:space="preserve"> The GFCR also continues to show strong alignment with BPF priority geographies with </w:t>
      </w:r>
      <w:r w:rsidRPr="007E54DC" w:rsidR="000F23D1">
        <w:rPr>
          <w:rStyle w:val="normaltextrun"/>
        </w:rPr>
        <w:t xml:space="preserve">a portfolio and pipeline covering central and South America, East Africa, </w:t>
      </w:r>
      <w:r w:rsidRPr="007E54DC" w:rsidR="00982F96">
        <w:rPr>
          <w:rStyle w:val="normaltextrun"/>
        </w:rPr>
        <w:t>Southeast</w:t>
      </w:r>
      <w:r w:rsidRPr="007E54DC" w:rsidR="000F23D1">
        <w:rPr>
          <w:rStyle w:val="normaltextrun"/>
        </w:rPr>
        <w:t xml:space="preserve"> Asia, and the Pacific Islands.</w:t>
      </w:r>
    </w:p>
    <w:tbl>
      <w:tblPr>
        <w:tblStyle w:val="TableGrid"/>
        <w:tblpPr w:leftFromText="180" w:rightFromText="180" w:vertAnchor="text" w:horzAnchor="margin" w:tblpY="361"/>
        <w:tblW w:w="5000" w:type="pct"/>
        <w:tblLook w:val="04A0" w:firstRow="1" w:lastRow="0" w:firstColumn="1" w:lastColumn="0" w:noHBand="0" w:noVBand="1"/>
      </w:tblPr>
      <w:tblGrid>
        <w:gridCol w:w="6502"/>
        <w:gridCol w:w="2504"/>
      </w:tblGrid>
      <w:tr w:rsidRPr="007E54DC" w:rsidR="003A2C47" w:rsidTr="23A59346" w14:paraId="7C7DF8FE" w14:textId="77777777">
        <w:tc>
          <w:tcPr>
            <w:tcW w:w="3610" w:type="pct"/>
            <w:shd w:val="clear" w:color="auto" w:fill="008938"/>
          </w:tcPr>
          <w:p w:rsidRPr="007E54DC" w:rsidR="003A2C47" w:rsidP="00802E75" w:rsidRDefault="003A2C47" w14:paraId="35C9C7C7" w14:textId="77777777">
            <w:pPr>
              <w:spacing w:after="0"/>
              <w:rPr>
                <w:b/>
                <w:bCs/>
              </w:rPr>
            </w:pPr>
            <w:r w:rsidRPr="007E54DC">
              <w:rPr>
                <w:b/>
                <w:bCs/>
                <w:color w:val="FFFFFF" w:themeColor="background1"/>
                <w:sz w:val="22"/>
                <w:szCs w:val="22"/>
              </w:rPr>
              <w:t>GFCR Income and Expenditure 2020-2024</w:t>
            </w:r>
          </w:p>
        </w:tc>
        <w:tc>
          <w:tcPr>
            <w:tcW w:w="1390" w:type="pct"/>
            <w:shd w:val="clear" w:color="auto" w:fill="008938"/>
          </w:tcPr>
          <w:p w:rsidRPr="007E54DC" w:rsidR="003A2C47" w:rsidP="00802E75" w:rsidRDefault="003A2C47" w14:paraId="1901FE1A" w14:textId="77777777">
            <w:pPr>
              <w:spacing w:after="0"/>
              <w:jc w:val="right"/>
              <w:rPr>
                <w:b/>
                <w:bCs/>
              </w:rPr>
            </w:pPr>
            <w:r w:rsidRPr="007E54DC">
              <w:rPr>
                <w:b/>
                <w:bCs/>
                <w:color w:val="FFFFFF" w:themeColor="background1"/>
                <w:sz w:val="22"/>
                <w:szCs w:val="22"/>
              </w:rPr>
              <w:t>(£m)</w:t>
            </w:r>
          </w:p>
        </w:tc>
      </w:tr>
      <w:tr w:rsidRPr="007E54DC" w:rsidR="003A2C47" w:rsidTr="23A59346" w14:paraId="6311BC83" w14:textId="77777777">
        <w:tc>
          <w:tcPr>
            <w:tcW w:w="3610" w:type="pct"/>
          </w:tcPr>
          <w:p w:rsidRPr="007E54DC" w:rsidR="003A2C47" w:rsidP="00802E75" w:rsidRDefault="003A2C47" w14:paraId="07C62868" w14:textId="77777777">
            <w:pPr>
              <w:spacing w:after="0"/>
              <w:rPr>
                <w:sz w:val="22"/>
                <w:szCs w:val="22"/>
              </w:rPr>
            </w:pPr>
            <w:r w:rsidRPr="007E54DC">
              <w:rPr>
                <w:sz w:val="22"/>
                <w:szCs w:val="22"/>
              </w:rPr>
              <w:t>Total Estimated Income 2020-2022</w:t>
            </w:r>
          </w:p>
        </w:tc>
        <w:tc>
          <w:tcPr>
            <w:tcW w:w="1390" w:type="pct"/>
          </w:tcPr>
          <w:p w:rsidRPr="007E54DC" w:rsidR="003A2C47" w:rsidP="00802E75" w:rsidRDefault="003A2C47" w14:paraId="5808C245" w14:textId="77777777">
            <w:pPr>
              <w:spacing w:after="0"/>
              <w:jc w:val="right"/>
              <w:rPr>
                <w:sz w:val="22"/>
                <w:szCs w:val="22"/>
              </w:rPr>
            </w:pPr>
            <w:r w:rsidRPr="007E54DC">
              <w:rPr>
                <w:sz w:val="22"/>
                <w:szCs w:val="22"/>
              </w:rPr>
              <w:t>23.2</w:t>
            </w:r>
          </w:p>
        </w:tc>
      </w:tr>
      <w:tr w:rsidRPr="007E54DC" w:rsidR="003A2C47" w:rsidTr="23A59346" w14:paraId="575071C8" w14:textId="77777777">
        <w:tc>
          <w:tcPr>
            <w:tcW w:w="3610" w:type="pct"/>
          </w:tcPr>
          <w:p w:rsidRPr="007E54DC" w:rsidR="003A2C47" w:rsidP="00802E75" w:rsidRDefault="003A2C47" w14:paraId="3A79D990" w14:textId="77777777">
            <w:pPr>
              <w:spacing w:after="0"/>
              <w:rPr>
                <w:sz w:val="22"/>
                <w:szCs w:val="22"/>
              </w:rPr>
            </w:pPr>
            <w:r w:rsidRPr="007E54DC">
              <w:rPr>
                <w:sz w:val="22"/>
                <w:szCs w:val="22"/>
              </w:rPr>
              <w:t>Total Estimated Expenditure 2020-2022</w:t>
            </w:r>
          </w:p>
        </w:tc>
        <w:tc>
          <w:tcPr>
            <w:tcW w:w="1390" w:type="pct"/>
          </w:tcPr>
          <w:p w:rsidRPr="007E54DC" w:rsidR="003A2C47" w:rsidP="00802E75" w:rsidRDefault="003A2C47" w14:paraId="6F9C3955" w14:textId="77777777">
            <w:pPr>
              <w:spacing w:after="0"/>
              <w:jc w:val="right"/>
              <w:rPr>
                <w:color w:val="FF0000"/>
                <w:sz w:val="22"/>
                <w:szCs w:val="22"/>
              </w:rPr>
            </w:pPr>
            <w:r w:rsidRPr="007E54DC">
              <w:rPr>
                <w:color w:val="FF0000"/>
                <w:sz w:val="22"/>
                <w:szCs w:val="22"/>
              </w:rPr>
              <w:t>-28.7</w:t>
            </w:r>
          </w:p>
        </w:tc>
      </w:tr>
      <w:tr w:rsidRPr="007E54DC" w:rsidR="003A2C47" w:rsidTr="23A59346" w14:paraId="48440717" w14:textId="77777777">
        <w:tc>
          <w:tcPr>
            <w:tcW w:w="3610" w:type="pct"/>
            <w:shd w:val="clear" w:color="auto" w:fill="E2EFD9" w:themeFill="accent6" w:themeFillTint="33"/>
          </w:tcPr>
          <w:p w:rsidRPr="007E54DC" w:rsidR="003A2C47" w:rsidP="00802E75" w:rsidRDefault="4AC839A1" w14:paraId="4429E1E5" w14:textId="77777777">
            <w:pPr>
              <w:spacing w:after="0"/>
              <w:rPr>
                <w:b/>
                <w:bCs/>
                <w:sz w:val="22"/>
                <w:szCs w:val="22"/>
              </w:rPr>
            </w:pPr>
            <w:r w:rsidRPr="007E54DC">
              <w:rPr>
                <w:b/>
                <w:bCs/>
                <w:sz w:val="22"/>
                <w:szCs w:val="22"/>
              </w:rPr>
              <w:t>Estimated Balance end of Calendar Year 2022</w:t>
            </w:r>
            <w:r w:rsidRPr="007E54DC" w:rsidR="003A2C47">
              <w:rPr>
                <w:rStyle w:val="FootnoteReference"/>
                <w:b/>
                <w:bCs/>
                <w:sz w:val="22"/>
                <w:szCs w:val="22"/>
              </w:rPr>
              <w:footnoteReference w:id="10"/>
            </w:r>
          </w:p>
        </w:tc>
        <w:tc>
          <w:tcPr>
            <w:tcW w:w="1390" w:type="pct"/>
            <w:shd w:val="clear" w:color="auto" w:fill="E2EFD9" w:themeFill="accent6" w:themeFillTint="33"/>
          </w:tcPr>
          <w:p w:rsidRPr="007E54DC" w:rsidR="003A2C47" w:rsidP="00802E75" w:rsidRDefault="003A2C47" w14:paraId="15CBD8AC" w14:textId="77777777">
            <w:pPr>
              <w:spacing w:after="0"/>
              <w:jc w:val="right"/>
              <w:rPr>
                <w:b/>
                <w:bCs/>
                <w:color w:val="FF0000"/>
                <w:sz w:val="22"/>
                <w:szCs w:val="22"/>
              </w:rPr>
            </w:pPr>
            <w:r w:rsidRPr="007E54DC">
              <w:rPr>
                <w:b/>
                <w:bCs/>
                <w:color w:val="FF0000"/>
                <w:sz w:val="22"/>
                <w:szCs w:val="22"/>
              </w:rPr>
              <w:t>-5.5</w:t>
            </w:r>
          </w:p>
        </w:tc>
      </w:tr>
      <w:tr w:rsidRPr="007E54DC" w:rsidR="003A2C47" w:rsidTr="23A59346" w14:paraId="0AEACA31" w14:textId="77777777">
        <w:tc>
          <w:tcPr>
            <w:tcW w:w="5000" w:type="pct"/>
            <w:gridSpan w:val="2"/>
            <w:shd w:val="clear" w:color="auto" w:fill="008938"/>
          </w:tcPr>
          <w:p w:rsidRPr="007E54DC" w:rsidR="003A2C47" w:rsidP="00802E75" w:rsidRDefault="003A2C47" w14:paraId="74D0D791" w14:textId="77777777">
            <w:pPr>
              <w:spacing w:after="0"/>
              <w:jc w:val="left"/>
              <w:rPr>
                <w:b/>
                <w:bCs/>
                <w:sz w:val="22"/>
                <w:szCs w:val="22"/>
              </w:rPr>
            </w:pPr>
            <w:r w:rsidRPr="007E54DC">
              <w:rPr>
                <w:b/>
                <w:bCs/>
                <w:color w:val="FFFFFF" w:themeColor="background1"/>
                <w:sz w:val="22"/>
                <w:szCs w:val="22"/>
              </w:rPr>
              <w:t>Forecast expenditure</w:t>
            </w:r>
          </w:p>
        </w:tc>
      </w:tr>
      <w:tr w:rsidRPr="007E54DC" w:rsidR="003A2C47" w:rsidTr="23A59346" w14:paraId="4413BB67" w14:textId="77777777">
        <w:tc>
          <w:tcPr>
            <w:tcW w:w="3610" w:type="pct"/>
          </w:tcPr>
          <w:p w:rsidRPr="007E54DC" w:rsidR="003A2C47" w:rsidP="00802E75" w:rsidRDefault="003A2C47" w14:paraId="6C5B7EA8" w14:textId="77777777">
            <w:pPr>
              <w:spacing w:after="0"/>
              <w:rPr>
                <w:sz w:val="22"/>
                <w:szCs w:val="22"/>
              </w:rPr>
            </w:pPr>
            <w:r w:rsidRPr="007E54DC">
              <w:rPr>
                <w:sz w:val="22"/>
                <w:szCs w:val="22"/>
              </w:rPr>
              <w:t>2023</w:t>
            </w:r>
          </w:p>
        </w:tc>
        <w:tc>
          <w:tcPr>
            <w:tcW w:w="1390" w:type="pct"/>
          </w:tcPr>
          <w:p w:rsidRPr="007E54DC" w:rsidR="003A2C47" w:rsidP="00802E75" w:rsidRDefault="003A2C47" w14:paraId="0D16F077" w14:textId="77777777">
            <w:pPr>
              <w:spacing w:after="0"/>
              <w:jc w:val="right"/>
              <w:rPr>
                <w:sz w:val="22"/>
                <w:szCs w:val="22"/>
              </w:rPr>
            </w:pPr>
            <w:r w:rsidRPr="007E54DC">
              <w:rPr>
                <w:sz w:val="22"/>
                <w:szCs w:val="22"/>
              </w:rPr>
              <w:t>32.5</w:t>
            </w:r>
          </w:p>
        </w:tc>
      </w:tr>
      <w:tr w:rsidRPr="007E54DC" w:rsidR="003A2C47" w:rsidTr="23A59346" w14:paraId="42C7866F" w14:textId="77777777">
        <w:tc>
          <w:tcPr>
            <w:tcW w:w="3610" w:type="pct"/>
          </w:tcPr>
          <w:p w:rsidRPr="007E54DC" w:rsidR="003A2C47" w:rsidP="00802E75" w:rsidRDefault="003A2C47" w14:paraId="440944C5" w14:textId="77777777">
            <w:pPr>
              <w:spacing w:after="0"/>
              <w:rPr>
                <w:sz w:val="22"/>
                <w:szCs w:val="22"/>
              </w:rPr>
            </w:pPr>
            <w:r w:rsidRPr="007E54DC">
              <w:rPr>
                <w:sz w:val="22"/>
                <w:szCs w:val="22"/>
              </w:rPr>
              <w:t>2024</w:t>
            </w:r>
          </w:p>
        </w:tc>
        <w:tc>
          <w:tcPr>
            <w:tcW w:w="1390" w:type="pct"/>
          </w:tcPr>
          <w:p w:rsidRPr="007E54DC" w:rsidR="003A2C47" w:rsidP="00973FEF" w:rsidRDefault="003A2C47" w14:paraId="32A0180D" w14:textId="77777777">
            <w:pPr>
              <w:keepNext/>
              <w:spacing w:after="0"/>
              <w:jc w:val="right"/>
              <w:rPr>
                <w:sz w:val="22"/>
                <w:szCs w:val="22"/>
              </w:rPr>
            </w:pPr>
            <w:r w:rsidRPr="007E54DC">
              <w:rPr>
                <w:sz w:val="22"/>
                <w:szCs w:val="22"/>
              </w:rPr>
              <w:t>32.5</w:t>
            </w:r>
          </w:p>
        </w:tc>
      </w:tr>
    </w:tbl>
    <w:p w:rsidRPr="007E54DC" w:rsidR="003A2C47" w:rsidP="006E2142" w:rsidRDefault="003A2C47" w14:paraId="677D071F" w14:textId="77777777">
      <w:pPr>
        <w:rPr>
          <w:rStyle w:val="normaltextrun"/>
        </w:rPr>
      </w:pPr>
    </w:p>
    <w:p w:rsidRPr="007E54DC" w:rsidR="00973FEF" w:rsidP="00973FEF" w:rsidRDefault="00973FEF" w14:paraId="46F9A6A9" w14:textId="6500F5AA">
      <w:pPr>
        <w:pStyle w:val="Caption"/>
        <w:framePr w:hSpace="180" w:wrap="around" w:hAnchor="page" w:vAnchor="text" w:x="3871" w:y="2567"/>
        <w:jc w:val="both"/>
      </w:pPr>
      <w:bookmarkStart w:name="_Toc132104911" w:id="11"/>
      <w:r w:rsidRPr="007E54DC">
        <w:t xml:space="preserve">Table </w:t>
      </w:r>
      <w:r w:rsidRPr="007E54DC">
        <w:fldChar w:fldCharType="begin"/>
      </w:r>
      <w:r w:rsidRPr="007E54DC">
        <w:instrText>SEQ Table \* ARABIC</w:instrText>
      </w:r>
      <w:r w:rsidRPr="007E54DC">
        <w:fldChar w:fldCharType="separate"/>
      </w:r>
      <w:r w:rsidR="00B9356F">
        <w:rPr>
          <w:noProof/>
        </w:rPr>
        <w:t>1</w:t>
      </w:r>
      <w:r w:rsidRPr="007E54DC">
        <w:fldChar w:fldCharType="end"/>
      </w:r>
      <w:r w:rsidRPr="007E54DC">
        <w:t xml:space="preserve"> </w:t>
      </w:r>
      <w:r w:rsidRPr="007E54DC" w:rsidR="00730C0C">
        <w:t xml:space="preserve">- </w:t>
      </w:r>
      <w:r w:rsidRPr="007E54DC" w:rsidR="00730C0C">
        <w:rPr>
          <w:noProof/>
        </w:rPr>
        <w:t>GFCR</w:t>
      </w:r>
      <w:r w:rsidRPr="007E54DC">
        <w:rPr>
          <w:noProof/>
        </w:rPr>
        <w:t xml:space="preserve"> modelled funding</w:t>
      </w:r>
      <w:bookmarkEnd w:id="11"/>
    </w:p>
    <w:p w:rsidRPr="007E54DC" w:rsidR="003A2C47" w:rsidP="00DC64CC" w:rsidRDefault="003A2C47" w14:paraId="58C727A1" w14:textId="77777777"/>
    <w:p w:rsidRPr="007E54DC" w:rsidR="003C32FE" w:rsidP="001046C2" w:rsidRDefault="5E6A6544" w14:paraId="52AD1FE0" w14:textId="0C2CF8E1">
      <w:pPr>
        <w:sectPr w:rsidRPr="007E54DC" w:rsidR="003C32FE" w:rsidSect="00BB24C9">
          <w:pgSz w:w="11906" w:h="16838" w:orient="portrait"/>
          <w:pgMar w:top="1440" w:right="1440" w:bottom="1440" w:left="1440" w:header="709" w:footer="709" w:gutter="0"/>
          <w:pgNumType w:start="1"/>
          <w:cols w:space="708"/>
          <w:docGrid w:linePitch="360"/>
        </w:sectPr>
      </w:pPr>
      <w:r w:rsidRPr="007E54DC">
        <w:t>During 2021, the first full year of GFCR operation, there was a strong focus on building and strengthening the operational and governance structures of the GFCR and bringing initial projects into fruition</w:t>
      </w:r>
      <w:r w:rsidRPr="007E54DC" w:rsidR="7ED25798">
        <w:t xml:space="preserve">; key interventions and early markers of progress for Defra funded projects can be seen in Table </w:t>
      </w:r>
      <w:r w:rsidRPr="007E54DC" w:rsidR="4AC839A1">
        <w:t>2</w:t>
      </w:r>
      <w:r w:rsidRPr="007E54DC" w:rsidR="7ED25798">
        <w:t xml:space="preserve"> below (Further information can be found in Annex </w:t>
      </w:r>
      <w:r w:rsidRPr="007E54DC" w:rsidR="46E8F0AC">
        <w:t>D</w:t>
      </w:r>
      <w:r w:rsidRPr="007E54DC" w:rsidR="7ED25798">
        <w:t xml:space="preserve"> and section 2.1 Year 1 Annual Review).</w:t>
      </w:r>
      <w:r w:rsidRPr="007E54DC" w:rsidR="00F14AF7">
        <w:rPr>
          <w:rFonts w:ascii="Calibri" w:hAnsi="Calibri" w:eastAsia="Calibri" w:cs="Calibri"/>
        </w:rPr>
        <w:t xml:space="preserve"> </w:t>
      </w:r>
      <w:r w:rsidRPr="007E54DC" w:rsidR="627C7BFB">
        <w:t>Substantial progress</w:t>
      </w:r>
      <w:r w:rsidRPr="007E54DC" w:rsidR="7ED25798">
        <w:t xml:space="preserve"> </w:t>
      </w:r>
      <w:r w:rsidRPr="007E54DC" w:rsidR="627C7BFB">
        <w:t>has meant a strong growth forecast and the Executive Board (EB), with input from Defra through our permanent Executive Board membership, has now mandated an additional ten countries and three regional programmes to be pursued, totalling 22 programmes in the GFCR pipeline. Of these 22 programmes 12 are in BPF priority countries/regions, and all</w:t>
      </w:r>
      <w:r w:rsidRPr="007E54DC" w:rsidR="6568DA0F">
        <w:t xml:space="preserve"> but two </w:t>
      </w:r>
      <w:r w:rsidRPr="007E54DC" w:rsidR="627C7BFB">
        <w:t>are ODA eligible</w:t>
      </w:r>
      <w:r w:rsidRPr="007E54DC" w:rsidR="003C32FE">
        <w:rPr>
          <w:rStyle w:val="FootnoteReference"/>
        </w:rPr>
        <w:footnoteReference w:id="11"/>
      </w:r>
      <w:r w:rsidRPr="007E54DC" w:rsidR="627C7BFB">
        <w:t xml:space="preserve">. Development and approval of projects in these geographies is ongoing (see Figure 1) and Table </w:t>
      </w:r>
      <w:r w:rsidRPr="007E54DC" w:rsidR="296D69AF">
        <w:t>1</w:t>
      </w:r>
      <w:r w:rsidRPr="007E54DC" w:rsidR="627C7BFB">
        <w:t xml:space="preserve"> sets out GFCR’s short term projected expenditure which demonstrates their need for further funding.</w:t>
      </w:r>
      <w:r w:rsidRPr="007E54DC" w:rsidR="00947D53">
        <w:t xml:space="preserve"> </w:t>
      </w:r>
      <w:r w:rsidRPr="007E54DC" w:rsidR="00ED5B4B">
        <w:t>The objective of this cost extension, therefore, is to continue to provide support and funding for both established programmes as they expand, and new projects as they are developed and submitted to the Executive Board (EB) for approval</w:t>
      </w:r>
    </w:p>
    <w:p w:rsidRPr="007E54DC" w:rsidR="003C32FE" w:rsidP="00973FEF" w:rsidRDefault="003C32FE" w14:paraId="447CB240" w14:textId="477AE7D0">
      <w:pPr>
        <w:pStyle w:val="Caption"/>
        <w:keepNext/>
        <w:jc w:val="both"/>
      </w:pPr>
    </w:p>
    <w:tbl>
      <w:tblPr>
        <w:tblW w:w="14167"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53"/>
        <w:gridCol w:w="1361"/>
        <w:gridCol w:w="6634"/>
        <w:gridCol w:w="4819"/>
      </w:tblGrid>
      <w:tr w:rsidRPr="007E54DC" w:rsidR="00792F58" w:rsidTr="003C32FE" w14:paraId="71720267" w14:textId="77777777">
        <w:trPr>
          <w:trHeight w:val="240"/>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32C3D9F4" w14:textId="05CD96E2">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b/>
                <w:bCs/>
                <w:sz w:val="20"/>
                <w:szCs w:val="20"/>
              </w:rPr>
              <w:t>Project</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1E8D3A16"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b/>
                <w:bCs/>
                <w:sz w:val="20"/>
                <w:szCs w:val="20"/>
              </w:rPr>
              <w:t>Implementation date</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2AFA2CAB"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b/>
                <w:bCs/>
                <w:sz w:val="20"/>
                <w:szCs w:val="20"/>
              </w:rPr>
              <w:t>Key Interventions</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5A906B52" w14:textId="77777777">
            <w:pPr>
              <w:pStyle w:val="paragraph"/>
              <w:spacing w:before="0" w:beforeAutospacing="0" w:after="0" w:afterAutospacing="0"/>
              <w:textAlignment w:val="baseline"/>
              <w:rPr>
                <w:rFonts w:ascii="Calibri" w:hAnsi="Calibri" w:cs="Calibri"/>
                <w:sz w:val="20"/>
                <w:szCs w:val="20"/>
              </w:rPr>
            </w:pPr>
            <w:r w:rsidRPr="007E54DC">
              <w:rPr>
                <w:rStyle w:val="normaltextrun"/>
                <w:rFonts w:ascii="Calibri" w:hAnsi="Calibri" w:cs="Calibri"/>
                <w:b/>
                <w:bCs/>
                <w:sz w:val="20"/>
                <w:szCs w:val="20"/>
              </w:rPr>
              <w:t>Early Markers of Progress</w:t>
            </w:r>
            <w:r w:rsidRPr="007E54DC">
              <w:rPr>
                <w:rStyle w:val="eop"/>
                <w:rFonts w:ascii="Calibri" w:hAnsi="Calibri" w:cs="Calibri"/>
                <w:sz w:val="20"/>
                <w:szCs w:val="20"/>
              </w:rPr>
              <w:t> </w:t>
            </w:r>
          </w:p>
        </w:tc>
      </w:tr>
      <w:tr w:rsidRPr="007E54DC" w:rsidR="00792F58" w:rsidTr="003C32FE" w14:paraId="62D41C9B" w14:textId="77777777">
        <w:trPr>
          <w:trHeight w:val="1380"/>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3DD30C8C" w14:textId="3B220ADC">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Fiji</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64953CAF"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Jan-21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4C460002" w14:textId="77777777">
            <w:pPr>
              <w:pStyle w:val="paragraph"/>
              <w:numPr>
                <w:ilvl w:val="1"/>
                <w:numId w:val="33"/>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Blended finance facility to mobilise commercial impact finance into Locally Managed Marine Areas (LMMAs).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347B1EED" w14:textId="77777777">
            <w:pPr>
              <w:pStyle w:val="paragraph"/>
              <w:numPr>
                <w:ilvl w:val="1"/>
                <w:numId w:val="33"/>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Agender-responsive Technical Assistance Facility (TAF)</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725E2789" w14:textId="77777777">
            <w:pPr>
              <w:pStyle w:val="paragraph"/>
              <w:numPr>
                <w:ilvl w:val="1"/>
                <w:numId w:val="33"/>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 non-synthetic fertilizer company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211FB0E0" w14:textId="77777777">
            <w:pPr>
              <w:pStyle w:val="paragraph"/>
              <w:numPr>
                <w:ilvl w:val="1"/>
                <w:numId w:val="33"/>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 waste management facility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57D14FD3"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The initial activities for The Fertile Factory Company (TFFC) and the Western Sanitary Landfill mean the intervention is ready for further investment in 2023</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698C5CDA" w14:textId="3E378F6E">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Sites identified for LMMA financing</w:t>
            </w:r>
            <w:r w:rsidRPr="007E54DC" w:rsidR="003C32FE">
              <w:rPr>
                <w:rStyle w:val="normaltextrun"/>
                <w:rFonts w:ascii="Calibri" w:hAnsi="Calibri" w:cs="Calibri"/>
                <w:sz w:val="20"/>
                <w:szCs w:val="20"/>
                <w:shd w:val="clear" w:color="auto" w:fill="FFFFFF"/>
              </w:rPr>
              <w:t>; c</w:t>
            </w:r>
            <w:r w:rsidRPr="007E54DC">
              <w:rPr>
                <w:rStyle w:val="normaltextrun"/>
                <w:rFonts w:ascii="Calibri" w:hAnsi="Calibri" w:cs="Calibri"/>
                <w:sz w:val="20"/>
                <w:szCs w:val="20"/>
                <w:shd w:val="clear" w:color="auto" w:fill="FFFFFF"/>
              </w:rPr>
              <w:t>reation of Sea Sensorium Strategy</w:t>
            </w:r>
            <w:r w:rsidRPr="007E54DC" w:rsidR="003C32FE">
              <w:rPr>
                <w:rStyle w:val="normaltextrun"/>
                <w:rFonts w:ascii="Calibri" w:hAnsi="Calibri" w:cs="Calibri"/>
                <w:sz w:val="20"/>
                <w:szCs w:val="20"/>
                <w:shd w:val="clear" w:color="auto" w:fill="FFFFFF"/>
              </w:rPr>
              <w:t>; b</w:t>
            </w:r>
            <w:r w:rsidRPr="007E54DC">
              <w:rPr>
                <w:rStyle w:val="normaltextrun"/>
                <w:rFonts w:ascii="Calibri" w:hAnsi="Calibri" w:cs="Calibri"/>
                <w:sz w:val="20"/>
                <w:szCs w:val="20"/>
              </w:rPr>
              <w:t>udget and workplans have begun incubation </w:t>
            </w:r>
            <w:r w:rsidRPr="007E54DC">
              <w:rPr>
                <w:rStyle w:val="eop"/>
                <w:rFonts w:ascii="Calibri" w:hAnsi="Calibri" w:cs="Calibri"/>
                <w:sz w:val="20"/>
                <w:szCs w:val="20"/>
              </w:rPr>
              <w:t> </w:t>
            </w:r>
          </w:p>
          <w:p w:rsidRPr="007E54DC" w:rsidR="00792F58" w:rsidP="003C32FE" w:rsidRDefault="00792F58" w14:paraId="48D30784"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rPr>
              <w:t>Trials have started to test and demonstrate the yield of the product, with the intervention expected to be ready for substantive investment in the second half of 2023. </w:t>
            </w:r>
            <w:r w:rsidRPr="007E54DC">
              <w:rPr>
                <w:rStyle w:val="eop"/>
                <w:rFonts w:ascii="Calibri" w:hAnsi="Calibri" w:cs="Calibri"/>
                <w:sz w:val="20"/>
                <w:szCs w:val="20"/>
              </w:rPr>
              <w:t> </w:t>
            </w:r>
          </w:p>
        </w:tc>
      </w:tr>
      <w:tr w:rsidRPr="007E54DC" w:rsidR="00792F58" w:rsidTr="003C32FE" w14:paraId="01D7E5FC" w14:textId="77777777">
        <w:trPr>
          <w:trHeight w:val="1530"/>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7E5A5559" w14:textId="24075A96">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Kenya/Tanzania</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6A893EE0"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Sep-21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2E3E07D8" w14:textId="77777777">
            <w:pPr>
              <w:pStyle w:val="paragraph"/>
              <w:numPr>
                <w:ilvl w:val="1"/>
                <w:numId w:val="34"/>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SME Facility to invest in or alongside the Okavango Fund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1CBFB599" w14:textId="77777777">
            <w:pPr>
              <w:pStyle w:val="paragraph"/>
              <w:numPr>
                <w:ilvl w:val="1"/>
                <w:numId w:val="34"/>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Venture Studio for smaller scale community initiatives with a longer time horizon to maturity and investment readiness.</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01A6770B" w14:textId="77777777">
            <w:pPr>
              <w:pStyle w:val="paragraph"/>
              <w:numPr>
                <w:ilvl w:val="1"/>
                <w:numId w:val="34"/>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Nature Stewardship Bonds</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6A3186E8" w14:textId="77777777">
            <w:pPr>
              <w:pStyle w:val="paragraph"/>
              <w:numPr>
                <w:ilvl w:val="1"/>
                <w:numId w:val="34"/>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Corporate Biodiversity Bonds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09116F0B"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Participation in valuable stakeholder engagements/forums</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7CDDA221"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Grant agreement milestones - funding from Blue Bridge agreed</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5DA1C179"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Provision of scientific and surveillance equipment to aid baseline data gathering</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218837F8"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Implementation of a plastic waste management study</w:t>
            </w:r>
            <w:r w:rsidRPr="007E54DC">
              <w:rPr>
                <w:rStyle w:val="normaltextrun"/>
                <w:rFonts w:ascii="Calibri" w:hAnsi="Calibri" w:cs="Calibri"/>
                <w:sz w:val="20"/>
                <w:szCs w:val="20"/>
              </w:rPr>
              <w:t> </w:t>
            </w:r>
            <w:r w:rsidRPr="007E54DC">
              <w:rPr>
                <w:rStyle w:val="eop"/>
                <w:rFonts w:ascii="Calibri" w:hAnsi="Calibri" w:cs="Calibri"/>
                <w:sz w:val="20"/>
                <w:szCs w:val="20"/>
              </w:rPr>
              <w:t> </w:t>
            </w:r>
          </w:p>
        </w:tc>
      </w:tr>
      <w:tr w:rsidRPr="007E54DC" w:rsidR="00792F58" w:rsidTr="003C32FE" w14:paraId="330F062E" w14:textId="77777777">
        <w:trPr>
          <w:trHeight w:val="675"/>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529EB390" w14:textId="492AFCF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Papua New Guinea</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2D5B6BF0"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Sep-21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2748B1C0"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 Blue Economy Enterprise Incubation Facility (BE-EIF), housed within the new PNG National Biodiversity and Climate Fund (NBCF)</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2AD7EB3E"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 xml:space="preserve">National Blue Investment Strategy and kick-starting the establishment of the BE-EIF and a local hub in </w:t>
            </w:r>
            <w:proofErr w:type="spellStart"/>
            <w:r w:rsidRPr="007E54DC">
              <w:rPr>
                <w:rStyle w:val="normaltextrun"/>
                <w:rFonts w:ascii="Calibri" w:hAnsi="Calibri" w:cs="Calibri"/>
                <w:sz w:val="20"/>
                <w:szCs w:val="20"/>
                <w:shd w:val="clear" w:color="auto" w:fill="FFFFFF"/>
              </w:rPr>
              <w:t>Kimbe</w:t>
            </w:r>
            <w:proofErr w:type="spellEnd"/>
            <w:r w:rsidRPr="007E54DC">
              <w:rPr>
                <w:rStyle w:val="normaltextrun"/>
                <w:rFonts w:ascii="Calibri" w:hAnsi="Calibri" w:cs="Calibri"/>
                <w:sz w:val="20"/>
                <w:szCs w:val="20"/>
                <w:shd w:val="clear" w:color="auto" w:fill="FFFFFF"/>
              </w:rPr>
              <w:t xml:space="preserve"> Bay.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386870DB"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Technical assistance to support blue enterprises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19BE5867"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Development of a blue economy investment prospectus to raise awareness of the opportunities</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36522EE7"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New partnerships have been established with the PNG Biodiversity and Climate Fund</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09DE1256"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Agreement secured for a Technical Advisory Facility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27722C7C"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Participation in valuable stakeholder engagements/forums</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62215036" w14:textId="7CE5FFB8">
            <w:pPr>
              <w:pStyle w:val="paragraph"/>
              <w:tabs>
                <w:tab w:val="num" w:pos="564"/>
              </w:tabs>
              <w:spacing w:before="0" w:beforeAutospacing="0" w:after="0" w:afterAutospacing="0"/>
              <w:ind w:left="564" w:hanging="284"/>
              <w:textAlignment w:val="baseline"/>
              <w:rPr>
                <w:rFonts w:ascii="Calibri" w:hAnsi="Calibri" w:cs="Calibri"/>
                <w:sz w:val="20"/>
                <w:szCs w:val="20"/>
              </w:rPr>
            </w:pPr>
          </w:p>
        </w:tc>
      </w:tr>
      <w:tr w:rsidRPr="007E54DC" w:rsidR="00792F58" w:rsidTr="003C32FE" w14:paraId="5A6AF197" w14:textId="77777777">
        <w:trPr>
          <w:trHeight w:val="1140"/>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626CCF07" w14:textId="11376CB8">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Philippines</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034F21DA"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Nov-21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0DD267AA"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 xml:space="preserve">MPA Development Facility (DF) led by a consortium of three project developers (Blue Finance, Blue You, </w:t>
            </w:r>
            <w:proofErr w:type="spellStart"/>
            <w:r w:rsidRPr="007E54DC">
              <w:rPr>
                <w:rStyle w:val="normaltextrun"/>
                <w:rFonts w:ascii="Calibri" w:hAnsi="Calibri" w:cs="Calibri"/>
                <w:sz w:val="20"/>
                <w:szCs w:val="20"/>
                <w:shd w:val="clear" w:color="auto" w:fill="FFFFFF"/>
              </w:rPr>
              <w:t>Ubá</w:t>
            </w:r>
            <w:proofErr w:type="spellEnd"/>
            <w:r w:rsidRPr="007E54DC">
              <w:rPr>
                <w:rStyle w:val="normaltextrun"/>
                <w:rFonts w:ascii="Calibri" w:hAnsi="Calibri" w:cs="Calibri"/>
                <w:sz w:val="20"/>
                <w:szCs w:val="20"/>
                <w:shd w:val="clear" w:color="auto" w:fill="FFFFFF"/>
              </w:rPr>
              <w:t xml:space="preserve"> Sustainability Institute)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5BDF9277"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MPA blended finance investment facilities (BF-IFs) set-up for each MPA </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2B02C86E" w14:textId="77777777">
            <w:pPr>
              <w:pStyle w:val="paragraph"/>
              <w:numPr>
                <w:ilvl w:val="1"/>
                <w:numId w:val="37"/>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LMMA management agreements secured with local authorities</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24CFFEB3" w14:textId="77777777">
            <w:pPr>
              <w:pStyle w:val="paragraph"/>
              <w:numPr>
                <w:ilvl w:val="1"/>
                <w:numId w:val="37"/>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Various workplans established with a focus on capacity building, biodiversity/science, and sustainable revenues</w:t>
            </w:r>
            <w:r w:rsidRPr="007E54DC">
              <w:rPr>
                <w:rStyle w:val="normaltextrun"/>
                <w:rFonts w:ascii="Calibri" w:hAnsi="Calibri" w:cs="Calibri"/>
                <w:sz w:val="20"/>
                <w:szCs w:val="20"/>
              </w:rPr>
              <w:t> </w:t>
            </w:r>
            <w:r w:rsidRPr="007E54DC">
              <w:rPr>
                <w:rStyle w:val="eop"/>
                <w:rFonts w:ascii="Calibri" w:hAnsi="Calibri" w:cs="Calibri"/>
                <w:sz w:val="20"/>
                <w:szCs w:val="20"/>
              </w:rPr>
              <w:t> </w:t>
            </w:r>
          </w:p>
        </w:tc>
      </w:tr>
      <w:tr w:rsidRPr="007E54DC" w:rsidR="00792F58" w:rsidTr="003C32FE" w14:paraId="4E2A65F1" w14:textId="77777777">
        <w:trPr>
          <w:trHeight w:val="1830"/>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53C32285" w14:textId="16529248">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Indonesia</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00101B0B"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Feb-22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04EA167E"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Replication of MPA Financing Models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236D9AAC"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Strengthening enabling conditions for responsible and inclusive ecotourism recovery and growth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3ED370C6"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Strengthening enabling conditions for reef-positive, equitable and inclusive seaweed sector development and growth</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509A3DB6"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Catalytic investments in reef-positive enterprise incubation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483E4A88" w14:textId="77777777">
            <w:pPr>
              <w:pStyle w:val="paragraph"/>
              <w:numPr>
                <w:ilvl w:val="1"/>
                <w:numId w:val="37"/>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Funding released in Q2 of 2022 </w:t>
            </w:r>
            <w:r w:rsidRPr="007E54DC">
              <w:rPr>
                <w:rStyle w:val="eop"/>
                <w:rFonts w:ascii="Calibri" w:hAnsi="Calibri" w:cs="Calibri"/>
                <w:sz w:val="20"/>
                <w:szCs w:val="20"/>
              </w:rPr>
              <w:t> </w:t>
            </w:r>
          </w:p>
          <w:p w:rsidRPr="007E54DC" w:rsidR="00792F58" w:rsidP="003C32FE" w:rsidRDefault="00792F58" w14:paraId="18BE0DF6" w14:textId="77777777">
            <w:pPr>
              <w:pStyle w:val="paragraph"/>
              <w:numPr>
                <w:ilvl w:val="1"/>
                <w:numId w:val="37"/>
              </w:numPr>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Raja Ampat mooring system accelerated </w:t>
            </w:r>
            <w:r w:rsidRPr="007E54DC">
              <w:rPr>
                <w:rStyle w:val="eop"/>
                <w:rFonts w:ascii="Calibri" w:hAnsi="Calibri" w:cs="Calibri"/>
                <w:sz w:val="20"/>
                <w:szCs w:val="20"/>
              </w:rPr>
              <w:t> </w:t>
            </w:r>
          </w:p>
        </w:tc>
      </w:tr>
      <w:tr w:rsidRPr="007E54DC" w:rsidR="00792F58" w:rsidTr="003C32FE" w14:paraId="3E8135C0" w14:textId="77777777">
        <w:trPr>
          <w:trHeight w:val="1485"/>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4B95A4A5" w14:textId="78C299E9">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Mesoamerican Reef</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46DA1C77"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Feb-22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3882E8DB"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Establish the technical assistance facility (MARTAF), managed by MAR Fund, and the Financing Facility, managed by New Ventures.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112BFB6B"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proofErr w:type="spellStart"/>
            <w:r w:rsidRPr="007E54DC">
              <w:rPr>
                <w:rStyle w:val="normaltextrun"/>
                <w:rFonts w:ascii="Calibri" w:hAnsi="Calibri" w:cs="Calibri"/>
                <w:sz w:val="20"/>
                <w:szCs w:val="20"/>
                <w:shd w:val="clear" w:color="auto" w:fill="FFFFFF"/>
              </w:rPr>
              <w:t>MAR+Invest</w:t>
            </w:r>
            <w:proofErr w:type="spellEnd"/>
            <w:r w:rsidRPr="007E54DC">
              <w:rPr>
                <w:rStyle w:val="normaltextrun"/>
                <w:rFonts w:ascii="Calibri" w:hAnsi="Calibri" w:cs="Calibri"/>
                <w:sz w:val="20"/>
                <w:szCs w:val="20"/>
                <w:shd w:val="clear" w:color="auto" w:fill="FFFFFF"/>
              </w:rPr>
              <w:t xml:space="preserve"> impact to be monitored and evaluated by Healthy Reefs Initiative, the partner organisations dedicated to measuring and reporting on the health of the MAR.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5F58F3E3"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 capacity building program (Build &amp; Connect) to generate enabling conditions for coral investment in the MAR with local governments, investors, incubators and CMPAs will be developed by the Mexican Fund for the Conservation of Nature and its MAR-Leadership program.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72913842"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Identification of growth paths and blended financing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4828324A"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proofErr w:type="spellStart"/>
            <w:r w:rsidRPr="007E54DC">
              <w:rPr>
                <w:rStyle w:val="normaltextrun"/>
                <w:rFonts w:ascii="Calibri" w:hAnsi="Calibri" w:cs="Calibri"/>
                <w:sz w:val="20"/>
                <w:szCs w:val="20"/>
                <w:shd w:val="clear" w:color="auto" w:fill="FFFFFF"/>
              </w:rPr>
              <w:t>MAR+Invest</w:t>
            </w:r>
            <w:proofErr w:type="spellEnd"/>
            <w:r w:rsidRPr="007E54DC">
              <w:rPr>
                <w:rStyle w:val="normaltextrun"/>
                <w:rFonts w:ascii="Calibri" w:hAnsi="Calibri" w:cs="Calibri"/>
                <w:sz w:val="20"/>
                <w:szCs w:val="20"/>
                <w:shd w:val="clear" w:color="auto" w:fill="FFFFFF"/>
              </w:rPr>
              <w:t xml:space="preserve"> will test in </w:t>
            </w:r>
            <w:proofErr w:type="spellStart"/>
            <w:r w:rsidRPr="007E54DC">
              <w:rPr>
                <w:rStyle w:val="normaltextrun"/>
                <w:rFonts w:ascii="Calibri" w:hAnsi="Calibri" w:cs="Calibri"/>
                <w:sz w:val="20"/>
                <w:szCs w:val="20"/>
                <w:shd w:val="clear" w:color="auto" w:fill="FFFFFF"/>
              </w:rPr>
              <w:t>Guanaja</w:t>
            </w:r>
            <w:proofErr w:type="spellEnd"/>
            <w:r w:rsidRPr="007E54DC">
              <w:rPr>
                <w:rStyle w:val="normaltextrun"/>
                <w:rFonts w:ascii="Calibri" w:hAnsi="Calibri" w:cs="Calibri"/>
                <w:sz w:val="20"/>
                <w:szCs w:val="20"/>
                <w:shd w:val="clear" w:color="auto" w:fill="FFFFFF"/>
              </w:rPr>
              <w:t xml:space="preserve"> – one of the three main islands of The Bay Islands Marine National Park of Honduras – a blue economy development approach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491E1387"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Equity and debt solutions will be explored with Pegasus Capital Advisors (PCA) to modernize the shrimp industry in Belize and achieve zero effluents from shrimp production into the MAR.</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21E0094C"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Identify, develop, and finance solutions that offer a scale of impact capable of reducing local threats to the reef, generating alternative livelihoods, increasing financial sustainability for CMPAs in the MAR, grow an Emergency Fund managed by MAR Fund, and ultimately attract capital to develop a coral positive investment portfolio.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2AD167A0" w14:textId="77777777">
            <w:pPr>
              <w:pStyle w:val="paragraph"/>
              <w:numPr>
                <w:ilvl w:val="0"/>
                <w:numId w:val="36"/>
              </w:numPr>
              <w:shd w:val="clear" w:color="auto" w:fill="FFFFFF"/>
              <w:tabs>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Funding released in Q2 of 2022</w:t>
            </w:r>
            <w:r w:rsidRPr="007E54DC">
              <w:rPr>
                <w:rStyle w:val="normaltextrun"/>
                <w:rFonts w:ascii="Calibri" w:hAnsi="Calibri" w:cs="Calibri"/>
                <w:sz w:val="20"/>
                <w:szCs w:val="20"/>
              </w:rPr>
              <w:t> </w:t>
            </w:r>
            <w:r w:rsidRPr="007E54DC">
              <w:rPr>
                <w:rStyle w:val="eop"/>
                <w:rFonts w:ascii="Calibri" w:hAnsi="Calibri" w:cs="Calibri"/>
                <w:sz w:val="20"/>
                <w:szCs w:val="20"/>
              </w:rPr>
              <w:t> </w:t>
            </w:r>
          </w:p>
        </w:tc>
      </w:tr>
      <w:tr w:rsidRPr="007E54DC" w:rsidR="00792F58" w:rsidTr="003C32FE" w14:paraId="40C1DD84" w14:textId="77777777">
        <w:trPr>
          <w:trHeight w:val="1395"/>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7DF7CB4E" w14:textId="5C9783F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Maldives</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6628DE" w:rsidRDefault="00792F58" w14:paraId="263F7742" w14:textId="77777777">
            <w:pPr>
              <w:pStyle w:val="paragraph"/>
              <w:numPr>
                <w:ilvl w:val="0"/>
                <w:numId w:val="35"/>
              </w:numPr>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Jun-22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6BCEE5A2" w14:textId="77777777">
            <w:pPr>
              <w:pStyle w:val="paragraph"/>
              <w:numPr>
                <w:ilvl w:val="0"/>
                <w:numId w:val="35"/>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 xml:space="preserve">The effective management mechanism for existing networks of seven protected areas in </w:t>
            </w:r>
            <w:proofErr w:type="spellStart"/>
            <w:r w:rsidRPr="007E54DC">
              <w:rPr>
                <w:rStyle w:val="normaltextrun"/>
                <w:rFonts w:ascii="Calibri" w:hAnsi="Calibri" w:cs="Calibri"/>
                <w:sz w:val="20"/>
                <w:szCs w:val="20"/>
                <w:shd w:val="clear" w:color="auto" w:fill="FFFFFF"/>
              </w:rPr>
              <w:t>Lhaviyani</w:t>
            </w:r>
            <w:proofErr w:type="spellEnd"/>
            <w:r w:rsidRPr="007E54DC">
              <w:rPr>
                <w:rStyle w:val="normaltextrun"/>
                <w:rFonts w:ascii="Calibri" w:hAnsi="Calibri" w:cs="Calibri"/>
                <w:sz w:val="20"/>
                <w:szCs w:val="20"/>
                <w:shd w:val="clear" w:color="auto" w:fill="FFFFFF"/>
              </w:rPr>
              <w:t xml:space="preserve"> atoll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7B4C5CB4" w14:textId="77777777">
            <w:pPr>
              <w:pStyle w:val="paragraph"/>
              <w:numPr>
                <w:ilvl w:val="0"/>
                <w:numId w:val="35"/>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Reduction/cessation of the uncontrolled dumping and disposal of domestic and commercial solid waste</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3B8D521D" w14:textId="77777777">
            <w:pPr>
              <w:pStyle w:val="paragraph"/>
              <w:numPr>
                <w:ilvl w:val="0"/>
                <w:numId w:val="35"/>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Establishment of a business incubation/technical assistance facility.</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973FEF" w:rsidRDefault="00792F58" w14:paraId="3793EB97" w14:textId="77777777">
            <w:pPr>
              <w:pStyle w:val="paragraph"/>
              <w:keepNext/>
              <w:numPr>
                <w:ilvl w:val="0"/>
                <w:numId w:val="35"/>
              </w:numPr>
              <w:shd w:val="clear" w:color="auto" w:fill="FFFFFF"/>
              <w:tabs>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Project showcased and discussed in the most recent GFCR EB</w:t>
            </w:r>
            <w:r w:rsidRPr="007E54DC">
              <w:rPr>
                <w:rStyle w:val="normaltextrun"/>
                <w:rFonts w:ascii="Calibri" w:hAnsi="Calibri" w:cs="Calibri"/>
                <w:sz w:val="20"/>
                <w:szCs w:val="20"/>
              </w:rPr>
              <w:t> </w:t>
            </w:r>
            <w:r w:rsidRPr="007E54DC">
              <w:rPr>
                <w:rStyle w:val="eop"/>
                <w:rFonts w:ascii="Calibri" w:hAnsi="Calibri" w:cs="Calibri"/>
                <w:sz w:val="20"/>
                <w:szCs w:val="20"/>
              </w:rPr>
              <w:t> </w:t>
            </w:r>
          </w:p>
        </w:tc>
      </w:tr>
    </w:tbl>
    <w:p w:rsidRPr="007E54DC" w:rsidR="003C32FE" w:rsidP="00973FEF" w:rsidRDefault="00973FEF" w14:paraId="56ACAE5D" w14:textId="70E010E8">
      <w:pPr>
        <w:pStyle w:val="Caption"/>
        <w:sectPr w:rsidRPr="007E54DC" w:rsidR="003C32FE" w:rsidSect="003C32FE">
          <w:pgSz w:w="16838" w:h="11906" w:orient="landscape"/>
          <w:pgMar w:top="1440" w:right="1440" w:bottom="1440" w:left="1440" w:header="709" w:footer="709" w:gutter="0"/>
          <w:pgNumType w:start="1"/>
          <w:cols w:space="708"/>
          <w:docGrid w:linePitch="360"/>
        </w:sectPr>
      </w:pPr>
      <w:bookmarkStart w:name="_Toc132104912" w:id="12"/>
      <w:r w:rsidRPr="007E54DC">
        <w:t xml:space="preserve">Table </w:t>
      </w:r>
      <w:r w:rsidRPr="007E54DC">
        <w:fldChar w:fldCharType="begin"/>
      </w:r>
      <w:r w:rsidRPr="007E54DC">
        <w:instrText>SEQ Table \* ARABIC</w:instrText>
      </w:r>
      <w:r w:rsidRPr="007E54DC">
        <w:fldChar w:fldCharType="separate"/>
      </w:r>
      <w:r w:rsidR="00B9356F">
        <w:rPr>
          <w:noProof/>
        </w:rPr>
        <w:t>2</w:t>
      </w:r>
      <w:r w:rsidRPr="007E54DC">
        <w:fldChar w:fldCharType="end"/>
      </w:r>
      <w:r w:rsidRPr="007E54DC">
        <w:rPr>
          <w:noProof/>
        </w:rPr>
        <w:t xml:space="preserve"> - GFCR Projects in implementation and key interventions</w:t>
      </w:r>
      <w:bookmarkEnd w:id="12"/>
    </w:p>
    <w:p w:rsidRPr="007E54DC" w:rsidR="00DC64CC" w:rsidP="001046C2" w:rsidRDefault="00DC64CC" w14:paraId="2014A874" w14:textId="1BFB8240">
      <w:pPr>
        <w:pStyle w:val="Caption"/>
        <w:jc w:val="both"/>
      </w:pPr>
      <w:r w:rsidRPr="007E54DC">
        <w:t xml:space="preserve">   </w:t>
      </w:r>
    </w:p>
    <w:p w:rsidRPr="007E54DC" w:rsidR="001046C2" w:rsidP="001046C2" w:rsidRDefault="001046C2" w14:paraId="0D43C9CA" w14:textId="19F3B91E">
      <w:pPr>
        <w:pStyle w:val="Caption"/>
        <w:keepNext/>
      </w:pPr>
      <w:bookmarkStart w:name="_Toc121907669" w:id="13"/>
      <w:r w:rsidRPr="007E54DC">
        <w:t xml:space="preserve">Figure </w:t>
      </w:r>
      <w:r w:rsidRPr="007E54DC">
        <w:fldChar w:fldCharType="begin"/>
      </w:r>
      <w:r w:rsidRPr="007E54DC">
        <w:instrText>SEQ Figure \* ARABIC</w:instrText>
      </w:r>
      <w:r w:rsidRPr="007E54DC">
        <w:fldChar w:fldCharType="separate"/>
      </w:r>
      <w:r w:rsidR="00B9356F">
        <w:rPr>
          <w:noProof/>
        </w:rPr>
        <w:t>1</w:t>
      </w:r>
      <w:r w:rsidRPr="007E54DC">
        <w:fldChar w:fldCharType="end"/>
      </w:r>
      <w:r w:rsidRPr="007E54DC">
        <w:rPr>
          <w:noProof/>
        </w:rPr>
        <w:t xml:space="preserve">  - GFCR Project Pipeline 2022/23</w:t>
      </w:r>
      <w:bookmarkEnd w:id="13"/>
    </w:p>
    <w:p w:rsidRPr="007E54DC" w:rsidR="001046C2" w:rsidP="001046C2" w:rsidRDefault="006E055F" w14:paraId="4615631C" w14:textId="77777777">
      <w:pPr>
        <w:pStyle w:val="Caption"/>
        <w:keepNext/>
      </w:pPr>
      <w:r w:rsidRPr="007E54DC">
        <w:rPr>
          <w:noProof/>
        </w:rPr>
        <w:drawing>
          <wp:inline distT="0" distB="0" distL="0" distR="0" wp14:anchorId="2A66BBEE" wp14:editId="424464B0">
            <wp:extent cx="5644515" cy="3902075"/>
            <wp:effectExtent l="0" t="0" r="0" b="317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l="1496" t="1797" b="16400"/>
                    <a:stretch/>
                  </pic:blipFill>
                  <pic:spPr bwMode="auto">
                    <a:xfrm>
                      <a:off x="0" y="0"/>
                      <a:ext cx="5644515" cy="3902075"/>
                    </a:xfrm>
                    <a:prstGeom prst="rect">
                      <a:avLst/>
                    </a:prstGeom>
                    <a:noFill/>
                    <a:ln>
                      <a:noFill/>
                    </a:ln>
                    <a:extLst>
                      <a:ext uri="{53640926-AAD7-44D8-BBD7-CCE9431645EC}">
                        <a14:shadowObscured xmlns:a14="http://schemas.microsoft.com/office/drawing/2010/main"/>
                      </a:ext>
                    </a:extLst>
                  </pic:spPr>
                </pic:pic>
              </a:graphicData>
            </a:graphic>
          </wp:inline>
        </w:drawing>
      </w:r>
    </w:p>
    <w:p w:rsidRPr="007E54DC" w:rsidR="00D15D16" w:rsidP="0022760D" w:rsidRDefault="0003093E" w14:paraId="3FC4F43D" w14:textId="1F95093D" w14:noSpellErr="1">
      <w:pPr>
        <w:pStyle w:val="Heading2"/>
        <w:rPr/>
      </w:pPr>
      <w:bookmarkStart w:name="_Toc1107257887" w:id="665554695"/>
      <w:r w:rsidR="0003093E">
        <w:rPr/>
        <w:t xml:space="preserve">Section 1.3: </w:t>
      </w:r>
      <w:r w:rsidR="00D15D16">
        <w:rPr/>
        <w:t xml:space="preserve">What is the </w:t>
      </w:r>
      <w:r w:rsidR="00D15D16">
        <w:rPr/>
        <w:t>additional</w:t>
      </w:r>
      <w:r w:rsidR="00D15D16">
        <w:rPr/>
        <w:t xml:space="preserve"> and total support the UK will provide?</w:t>
      </w:r>
      <w:bookmarkEnd w:id="665554695"/>
    </w:p>
    <w:p w:rsidRPr="007E54DC" w:rsidR="0072081D" w:rsidP="00A40938" w:rsidRDefault="0072081D" w14:paraId="61C61364" w14:textId="2C28466B">
      <w:pPr>
        <w:spacing w:after="0"/>
        <w:rPr>
          <w:rFonts w:eastAsia="Times New Roman"/>
          <w:b/>
          <w:bCs/>
        </w:rPr>
      </w:pPr>
      <w:r w:rsidRPr="007E54DC">
        <w:rPr>
          <w:rFonts w:eastAsia="Times New Roman"/>
          <w:b/>
          <w:bCs/>
        </w:rPr>
        <w:t xml:space="preserve">To date Defra have </w:t>
      </w:r>
      <w:r w:rsidRPr="007E54DC">
        <w:rPr>
          <w:b/>
          <w:bCs/>
          <w:lang w:val="en-US"/>
        </w:rPr>
        <w:t>contributed £9m to the GFCR via the Blue Planet Fund (BPF)</w:t>
      </w:r>
      <w:r w:rsidRPr="007E54DC" w:rsidR="001046C2">
        <w:rPr>
          <w:b/>
          <w:bCs/>
          <w:lang w:val="en-US"/>
        </w:rPr>
        <w:t xml:space="preserve"> which was all committed and disbursed in FY 2021/22 as follows:</w:t>
      </w:r>
    </w:p>
    <w:p w:rsidRPr="007E54DC" w:rsidR="00D15D16" w:rsidP="00A40938" w:rsidRDefault="79E9F2C0" w14:paraId="01DA8E99" w14:textId="38A66038">
      <w:pPr>
        <w:pStyle w:val="ListParagraph"/>
        <w:numPr>
          <w:ilvl w:val="0"/>
          <w:numId w:val="39"/>
        </w:numPr>
        <w:spacing w:after="0"/>
        <w:rPr>
          <w:rFonts w:eastAsia="Times New Roman"/>
        </w:rPr>
      </w:pPr>
      <w:r w:rsidRPr="007E54DC">
        <w:rPr>
          <w:rFonts w:eastAsia="Times New Roman"/>
        </w:rPr>
        <w:t>The original Business Case for £5 million, was approved by Investment Committee in May 2021. This investment was intended to test the GFCR concept and capability, with scope to increase funding if successful.</w:t>
      </w:r>
    </w:p>
    <w:p w:rsidRPr="007E54DC" w:rsidR="00D15D16" w:rsidP="00A40938" w:rsidRDefault="79E9F2C0" w14:paraId="389D2D2B" w14:textId="77777777">
      <w:pPr>
        <w:pStyle w:val="ListParagraph"/>
        <w:numPr>
          <w:ilvl w:val="0"/>
          <w:numId w:val="39"/>
        </w:numPr>
        <w:spacing w:after="0"/>
        <w:rPr>
          <w:rFonts w:eastAsia="Times New Roman"/>
        </w:rPr>
      </w:pPr>
      <w:r w:rsidRPr="007E54DC">
        <w:rPr>
          <w:rFonts w:eastAsia="Times New Roman"/>
        </w:rPr>
        <w:t>At COP26 this was extended by £1m and announced by Minister Goldsmith. </w:t>
      </w:r>
    </w:p>
    <w:p w:rsidRPr="007E54DC" w:rsidR="0072081D" w:rsidP="001046C2" w:rsidRDefault="79E9F2C0" w14:paraId="78791CB4" w14:textId="77777777">
      <w:pPr>
        <w:pStyle w:val="ListParagraph"/>
        <w:numPr>
          <w:ilvl w:val="0"/>
          <w:numId w:val="39"/>
        </w:numPr>
        <w:rPr>
          <w:rFonts w:eastAsia="Times New Roman"/>
        </w:rPr>
      </w:pPr>
      <w:r w:rsidRPr="007E54DC">
        <w:rPr>
          <w:rFonts w:eastAsia="Times New Roman"/>
        </w:rPr>
        <w:t>Following this, a further £3</w:t>
      </w:r>
      <w:r w:rsidRPr="007E54DC" w:rsidR="6D39E9B9">
        <w:rPr>
          <w:rFonts w:eastAsia="Times New Roman"/>
        </w:rPr>
        <w:t>m</w:t>
      </w:r>
      <w:r w:rsidRPr="007E54DC">
        <w:rPr>
          <w:rFonts w:eastAsia="Times New Roman"/>
        </w:rPr>
        <w:t xml:space="preserve"> was approved</w:t>
      </w:r>
      <w:r w:rsidRPr="007E54DC" w:rsidR="3AF58E63">
        <w:rPr>
          <w:rFonts w:eastAsia="Times New Roman"/>
        </w:rPr>
        <w:t xml:space="preserve"> in March 2022</w:t>
      </w:r>
      <w:r w:rsidRPr="007E54DC">
        <w:rPr>
          <w:rFonts w:eastAsia="Times New Roman"/>
        </w:rPr>
        <w:t>,</w:t>
      </w:r>
      <w:r w:rsidRPr="007E54DC" w:rsidR="1E695069">
        <w:rPr>
          <w:rFonts w:eastAsia="Times New Roman"/>
        </w:rPr>
        <w:t xml:space="preserve"> based on needs identified by the Fund and to support</w:t>
      </w:r>
      <w:r w:rsidRPr="007E54DC" w:rsidR="2A5AB2B8">
        <w:rPr>
          <w:rFonts w:eastAsia="Times New Roman"/>
        </w:rPr>
        <w:t xml:space="preserve"> a reallocation of</w:t>
      </w:r>
      <w:r w:rsidRPr="007E54DC" w:rsidR="1E695069">
        <w:rPr>
          <w:rFonts w:eastAsia="Times New Roman"/>
        </w:rPr>
        <w:t xml:space="preserve"> Defra </w:t>
      </w:r>
      <w:r w:rsidRPr="007E54DC" w:rsidR="2A5AB2B8">
        <w:rPr>
          <w:rFonts w:eastAsia="Times New Roman"/>
        </w:rPr>
        <w:t>ODA spend</w:t>
      </w:r>
      <w:r w:rsidRPr="007E54DC" w:rsidR="7DE4235B">
        <w:rPr>
          <w:rFonts w:eastAsia="Times New Roman"/>
        </w:rPr>
        <w:t>.</w:t>
      </w:r>
    </w:p>
    <w:p w:rsidRPr="007E54DC" w:rsidR="00A40938" w:rsidP="001046C2" w:rsidRDefault="79E9F2C0" w14:paraId="74F4B0DB" w14:textId="59749C0A">
      <w:r w:rsidRPr="007E54DC">
        <w:rPr>
          <w:b/>
          <w:bCs/>
        </w:rPr>
        <w:t xml:space="preserve">This </w:t>
      </w:r>
      <w:r w:rsidRPr="007E54DC" w:rsidR="7DE4235B">
        <w:rPr>
          <w:b/>
          <w:bCs/>
        </w:rPr>
        <w:t xml:space="preserve">addendum </w:t>
      </w:r>
      <w:r w:rsidRPr="007E54DC">
        <w:rPr>
          <w:b/>
          <w:bCs/>
        </w:rPr>
        <w:t>is now seeking approval for additional funding</w:t>
      </w:r>
      <w:r w:rsidRPr="007E54DC" w:rsidR="1E695069">
        <w:rPr>
          <w:b/>
          <w:bCs/>
        </w:rPr>
        <w:t xml:space="preserve"> </w:t>
      </w:r>
      <w:r w:rsidRPr="007E54DC" w:rsidR="65B9EDD9">
        <w:rPr>
          <w:b/>
          <w:bCs/>
        </w:rPr>
        <w:t>for 3 years;</w:t>
      </w:r>
      <w:r w:rsidRPr="007E54DC">
        <w:rPr>
          <w:b/>
          <w:bCs/>
        </w:rPr>
        <w:t xml:space="preserve"> </w:t>
      </w:r>
      <w:r w:rsidRPr="007E54DC" w:rsidR="7DE4235B">
        <w:rPr>
          <w:b/>
          <w:bCs/>
        </w:rPr>
        <w:t xml:space="preserve">£9m in 22/23, £8m in 23/24 and £7m in 24/25; up to </w:t>
      </w:r>
      <w:r w:rsidRPr="007E54DC" w:rsidR="001046C2">
        <w:rPr>
          <w:b/>
          <w:bCs/>
        </w:rPr>
        <w:t xml:space="preserve">a total of </w:t>
      </w:r>
      <w:r w:rsidRPr="007E54DC" w:rsidR="7DE4235B">
        <w:rPr>
          <w:b/>
          <w:bCs/>
        </w:rPr>
        <w:t>£24m.</w:t>
      </w:r>
      <w:r w:rsidRPr="007E54DC" w:rsidR="00A40938">
        <w:rPr>
          <w:b/>
          <w:bCs/>
        </w:rPr>
        <w:t xml:space="preserve"> </w:t>
      </w:r>
      <w:r w:rsidRPr="007E54DC" w:rsidR="213DAC9E">
        <w:t xml:space="preserve">We have </w:t>
      </w:r>
      <w:r w:rsidRPr="007E54DC" w:rsidR="6A8F6BF2">
        <w:t>conducted economic analysis which provides the rationale behind this uplift in funding</w:t>
      </w:r>
      <w:r w:rsidRPr="007E54DC" w:rsidR="2FA9E653">
        <w:t>,</w:t>
      </w:r>
      <w:r w:rsidRPr="007E54DC" w:rsidR="6A8F6BF2">
        <w:t xml:space="preserve"> </w:t>
      </w:r>
      <w:r w:rsidRPr="007E54DC" w:rsidR="00ED5B4B">
        <w:t>d</w:t>
      </w:r>
      <w:r w:rsidRPr="007E54DC" w:rsidR="6A8F6BF2">
        <w:t>etails can be found in Annex</w:t>
      </w:r>
      <w:r w:rsidRPr="007E54DC" w:rsidR="4B96D19A">
        <w:t xml:space="preserve"> </w:t>
      </w:r>
      <w:r w:rsidRPr="007E54DC" w:rsidR="006E0401">
        <w:t>E</w:t>
      </w:r>
      <w:r w:rsidRPr="007E54DC" w:rsidR="6A8F6BF2">
        <w:t>.</w:t>
      </w:r>
    </w:p>
    <w:p w:rsidRPr="007E54DC" w:rsidR="00D15D16" w:rsidP="001046C2" w:rsidRDefault="00790E9C" w14:paraId="3EB74622" w14:textId="5F4E49FC">
      <w:r w:rsidRPr="007E54DC">
        <w:t xml:space="preserve">Year on year disbursements will be dependent on the ongoing strong performance of the GFCR and evidence of need from ongoing pipeline development. We have opted for this front loaded spend profile as we have greater certainty over need for funding in near-term years as the GFCR pipeline is more developed and more defined. However, based on the modelling done by the GFCR team we do expect the Fund to continue to grow and will consider additional top-ups if need, Defra ODA budgets, and BPF and political alignment are maintained. If needs shift the year-on-year profile could be </w:t>
      </w:r>
      <w:r w:rsidRPr="007E54DC" w:rsidR="001046C2">
        <w:t xml:space="preserve">adapted </w:t>
      </w:r>
      <w:r w:rsidRPr="007E54DC">
        <w:t xml:space="preserve">to allow for this </w:t>
      </w:r>
      <w:r w:rsidRPr="007E54DC" w:rsidR="001046C2">
        <w:t xml:space="preserve">and </w:t>
      </w:r>
      <w:r w:rsidRPr="007E54DC">
        <w:t>if the rest of the BPF portfolio permits.</w:t>
      </w:r>
      <w:r w:rsidRPr="007E54DC" w:rsidR="00A40938">
        <w:t xml:space="preserve"> </w:t>
      </w:r>
      <w:r w:rsidRPr="007E54DC" w:rsidR="79E9F2C0">
        <w:t xml:space="preserve">If approval is granted this will </w:t>
      </w:r>
      <w:r w:rsidRPr="007E54DC" w:rsidR="001046C2">
        <w:t xml:space="preserve">bring the </w:t>
      </w:r>
      <w:r w:rsidRPr="007E54DC" w:rsidR="79E9F2C0">
        <w:t>total programme value to £33</w:t>
      </w:r>
      <w:r w:rsidRPr="007E54DC" w:rsidR="1C6961F5">
        <w:t>m</w:t>
      </w:r>
      <w:r w:rsidRPr="007E54DC" w:rsidR="79E9F2C0">
        <w:t xml:space="preserve">. All funding will be budgeted from Defra’s BPF allocation in </w:t>
      </w:r>
      <w:r w:rsidRPr="007E54DC" w:rsidR="79E9F2C0">
        <w:t>the relevant financial year</w:t>
      </w:r>
      <w:r w:rsidRPr="007E54DC" w:rsidR="0CB3E29B">
        <w:t xml:space="preserve"> </w:t>
      </w:r>
      <w:r w:rsidRPr="007E54DC" w:rsidR="001046C2">
        <w:t xml:space="preserve">and this uplift is all within the current Spending Review (SR21) </w:t>
      </w:r>
      <w:r w:rsidRPr="007E54DC" w:rsidR="0CB3E29B">
        <w:t>(See Financial Case)</w:t>
      </w:r>
    </w:p>
    <w:p w:rsidRPr="007E54DC" w:rsidR="008E0134" w:rsidP="00D15D16" w:rsidRDefault="00D15D16" w14:paraId="58F9A593" w14:textId="1AD60787">
      <w:r w:rsidRPr="007E54DC">
        <w:t xml:space="preserve">As set out in Table </w:t>
      </w:r>
      <w:r w:rsidRPr="007E54DC" w:rsidR="00973FEF">
        <w:t>1</w:t>
      </w:r>
      <w:r w:rsidRPr="007E54DC">
        <w:t xml:space="preserve">, the GFCR has a clear demand for further </w:t>
      </w:r>
      <w:r w:rsidRPr="007E54DC" w:rsidR="7AE746DD">
        <w:t>funding</w:t>
      </w:r>
      <w:r w:rsidRPr="007E54DC">
        <w:t xml:space="preserve"> and a pipeline of projects</w:t>
      </w:r>
      <w:r w:rsidRPr="007E54DC" w:rsidR="0010303E">
        <w:t xml:space="preserve"> within BPF priority geographies</w:t>
      </w:r>
      <w:r w:rsidRPr="007E54DC">
        <w:t xml:space="preserve"> approaching implementation </w:t>
      </w:r>
      <w:r w:rsidRPr="007E54DC" w:rsidR="001046C2">
        <w:t xml:space="preserve">readiness </w:t>
      </w:r>
      <w:r w:rsidRPr="007E54DC">
        <w:t xml:space="preserve">which will utilise UK funding. </w:t>
      </w:r>
      <w:r w:rsidRPr="007E54DC" w:rsidR="00D9567E">
        <w:t xml:space="preserve"> </w:t>
      </w:r>
      <w:r w:rsidRPr="007E54DC" w:rsidR="008E0134">
        <w:rPr>
          <w:rFonts w:cstheme="minorHAnsi"/>
        </w:rPr>
        <w:t xml:space="preserve">All projects will have a focus </w:t>
      </w:r>
      <w:r w:rsidRPr="007E54DC" w:rsidR="00D9567E">
        <w:rPr>
          <w:rFonts w:cstheme="minorHAnsi"/>
        </w:rPr>
        <w:t xml:space="preserve">on activities which contribute to </w:t>
      </w:r>
      <w:r w:rsidRPr="007E54DC" w:rsidR="008E0134">
        <w:rPr>
          <w:rFonts w:cstheme="minorHAnsi"/>
        </w:rPr>
        <w:t>revenue generation</w:t>
      </w:r>
      <w:r w:rsidRPr="007E54DC" w:rsidR="00D9567E">
        <w:rPr>
          <w:rFonts w:cstheme="minorHAnsi"/>
        </w:rPr>
        <w:t xml:space="preserve">, including </w:t>
      </w:r>
      <w:r w:rsidRPr="007E54DC" w:rsidR="007107BF">
        <w:rPr>
          <w:rFonts w:cstheme="minorHAnsi"/>
        </w:rPr>
        <w:t xml:space="preserve">but not limited to </w:t>
      </w:r>
      <w:r w:rsidRPr="007E54DC" w:rsidR="007107BF">
        <w:rPr>
          <w:rFonts w:eastAsia="Times New Roman" w:cstheme="minorHAnsi"/>
          <w:lang w:eastAsia="en-GB"/>
        </w:rPr>
        <w:t xml:space="preserve">those focussed on </w:t>
      </w:r>
      <w:r w:rsidRPr="007E54DC" w:rsidR="008E0134">
        <w:rPr>
          <w:rFonts w:eastAsia="Times New Roman" w:cstheme="minorHAnsi"/>
          <w:lang w:eastAsia="en-GB"/>
        </w:rPr>
        <w:t>reef conservation</w:t>
      </w:r>
      <w:r w:rsidRPr="007E54DC" w:rsidR="00D9567E">
        <w:rPr>
          <w:rFonts w:eastAsia="Times New Roman" w:cstheme="minorHAnsi"/>
          <w:lang w:eastAsia="en-GB"/>
        </w:rPr>
        <w:t>, e</w:t>
      </w:r>
      <w:r w:rsidRPr="007E54DC" w:rsidR="008E0134">
        <w:rPr>
          <w:rFonts w:eastAsia="Times New Roman" w:cstheme="minorHAnsi"/>
          <w:lang w:eastAsia="en-GB"/>
        </w:rPr>
        <w:t xml:space="preserve">cosystem conservation </w:t>
      </w:r>
      <w:r w:rsidRPr="007E54DC" w:rsidR="00D9567E">
        <w:rPr>
          <w:rFonts w:eastAsia="Times New Roman" w:cstheme="minorHAnsi"/>
          <w:lang w:eastAsia="en-GB"/>
        </w:rPr>
        <w:t>to</w:t>
      </w:r>
      <w:r w:rsidRPr="007E54DC" w:rsidR="008E0134">
        <w:rPr>
          <w:rFonts w:eastAsia="Times New Roman" w:cstheme="minorHAnsi"/>
          <w:lang w:eastAsia="en-GB"/>
        </w:rPr>
        <w:t xml:space="preserve"> target</w:t>
      </w:r>
      <w:r w:rsidRPr="007E54DC" w:rsidR="007107BF">
        <w:rPr>
          <w:rFonts w:eastAsia="Times New Roman" w:cstheme="minorHAnsi"/>
          <w:lang w:eastAsia="en-GB"/>
        </w:rPr>
        <w:t xml:space="preserve"> the</w:t>
      </w:r>
      <w:r w:rsidRPr="007E54DC" w:rsidR="008E0134">
        <w:rPr>
          <w:rFonts w:eastAsia="Times New Roman" w:cstheme="minorHAnsi"/>
          <w:lang w:eastAsia="en-GB"/>
        </w:rPr>
        <w:t xml:space="preserve"> drivers of degradation</w:t>
      </w:r>
      <w:r w:rsidRPr="007E54DC" w:rsidR="00D9567E">
        <w:rPr>
          <w:rFonts w:eastAsia="Times New Roman" w:cstheme="minorHAnsi"/>
          <w:lang w:eastAsia="en-GB"/>
        </w:rPr>
        <w:t xml:space="preserve">, </w:t>
      </w:r>
      <w:r w:rsidRPr="007E54DC" w:rsidR="007107BF">
        <w:rPr>
          <w:rFonts w:eastAsia="Times New Roman" w:cstheme="minorHAnsi"/>
          <w:lang w:eastAsia="en-GB"/>
        </w:rPr>
        <w:t xml:space="preserve">the </w:t>
      </w:r>
      <w:r w:rsidRPr="007E54DC" w:rsidR="00D9567E">
        <w:rPr>
          <w:rFonts w:eastAsia="Times New Roman" w:cstheme="minorHAnsi"/>
          <w:lang w:eastAsia="en-GB"/>
        </w:rPr>
        <w:t>implementation of c</w:t>
      </w:r>
      <w:r w:rsidRPr="007E54DC" w:rsidR="008E0134">
        <w:rPr>
          <w:rFonts w:eastAsia="Times New Roman" w:cstheme="minorHAnsi"/>
          <w:lang w:eastAsia="en-GB"/>
        </w:rPr>
        <w:t xml:space="preserve">onservation finance instruments </w:t>
      </w:r>
      <w:r w:rsidRPr="007E54DC" w:rsidR="00D9567E">
        <w:rPr>
          <w:rFonts w:eastAsia="Times New Roman" w:cstheme="minorHAnsi"/>
          <w:lang w:eastAsia="en-GB"/>
        </w:rPr>
        <w:t xml:space="preserve">to </w:t>
      </w:r>
      <w:r w:rsidRPr="007E54DC" w:rsidR="007107BF">
        <w:rPr>
          <w:rFonts w:eastAsia="Times New Roman" w:cstheme="minorHAnsi"/>
          <w:lang w:eastAsia="en-GB"/>
        </w:rPr>
        <w:t xml:space="preserve">enable </w:t>
      </w:r>
      <w:r w:rsidRPr="007E54DC" w:rsidR="008E0134">
        <w:rPr>
          <w:rFonts w:eastAsia="Times New Roman" w:cstheme="minorHAnsi"/>
          <w:lang w:eastAsia="en-GB"/>
        </w:rPr>
        <w:t>economic,</w:t>
      </w:r>
      <w:r w:rsidRPr="007E54DC" w:rsidR="007107BF">
        <w:rPr>
          <w:rFonts w:eastAsia="Times New Roman" w:cstheme="minorHAnsi"/>
          <w:lang w:eastAsia="en-GB"/>
        </w:rPr>
        <w:t xml:space="preserve"> </w:t>
      </w:r>
      <w:r w:rsidRPr="007E54DC" w:rsidR="008E0134">
        <w:rPr>
          <w:rFonts w:eastAsia="Times New Roman" w:cstheme="minorHAnsi"/>
          <w:lang w:eastAsia="en-GB"/>
        </w:rPr>
        <w:t>market-based, or</w:t>
      </w:r>
      <w:r w:rsidRPr="007E54DC" w:rsidR="001046C2">
        <w:rPr>
          <w:rFonts w:eastAsia="Times New Roman" w:cstheme="minorHAnsi"/>
          <w:lang w:eastAsia="en-GB"/>
        </w:rPr>
        <w:t xml:space="preserve"> </w:t>
      </w:r>
      <w:r w:rsidRPr="007E54DC" w:rsidR="008E0134">
        <w:rPr>
          <w:rFonts w:eastAsia="Times New Roman" w:cstheme="minorHAnsi"/>
          <w:lang w:eastAsia="en-GB"/>
        </w:rPr>
        <w:t>institutional means to generate, manage, and deplo</w:t>
      </w:r>
      <w:r w:rsidRPr="007E54DC" w:rsidR="00C0040A">
        <w:rPr>
          <w:rFonts w:eastAsia="Times New Roman" w:cstheme="minorHAnsi"/>
          <w:lang w:eastAsia="en-GB"/>
        </w:rPr>
        <w:t>y</w:t>
      </w:r>
      <w:r w:rsidRPr="007E54DC" w:rsidR="008E0134">
        <w:rPr>
          <w:rFonts w:eastAsia="Times New Roman" w:cstheme="minorHAnsi"/>
          <w:lang w:eastAsia="en-GB"/>
        </w:rPr>
        <w:t xml:space="preserve"> capital and incentives towards</w:t>
      </w:r>
      <w:r w:rsidRPr="007E54DC" w:rsidR="00C0040A">
        <w:rPr>
          <w:rFonts w:eastAsia="Times New Roman" w:cstheme="minorHAnsi"/>
          <w:lang w:eastAsia="en-GB"/>
        </w:rPr>
        <w:t xml:space="preserve"> </w:t>
      </w:r>
      <w:r w:rsidRPr="007E54DC" w:rsidR="008E0134">
        <w:rPr>
          <w:rFonts w:eastAsia="Times New Roman" w:cstheme="minorHAnsi"/>
          <w:lang w:eastAsia="en-GB"/>
        </w:rPr>
        <w:t>achieving conservation outcomes.</w:t>
      </w:r>
    </w:p>
    <w:p w:rsidRPr="007E54DC" w:rsidR="00D15D16" w:rsidP="00D15D16" w:rsidRDefault="00D15D16" w14:paraId="619FDB40" w14:textId="3F429A6B">
      <w:r>
        <w:t>Other donors are also</w:t>
      </w:r>
      <w:r w:rsidR="001046C2">
        <w:t xml:space="preserve"> considering</w:t>
      </w:r>
      <w:r>
        <w:t xml:space="preserve"> scaling up their level of investment. Discussions with the GFCR team </w:t>
      </w:r>
      <w:r w:rsidR="001046C2">
        <w:t xml:space="preserve">and with donors themselves </w:t>
      </w:r>
      <w:r w:rsidR="007107BF">
        <w:t xml:space="preserve">strongly </w:t>
      </w:r>
      <w:r>
        <w:t xml:space="preserve">suggest that further funding from the UK at this stage will not only support the pipeline of projects but </w:t>
      </w:r>
      <w:r w:rsidR="007107BF">
        <w:t xml:space="preserve">will </w:t>
      </w:r>
      <w:r>
        <w:t xml:space="preserve">also </w:t>
      </w:r>
      <w:r w:rsidR="007107BF">
        <w:t xml:space="preserve">send a strong signal to the donor community and </w:t>
      </w:r>
      <w:r>
        <w:t xml:space="preserve">catalyse or </w:t>
      </w:r>
      <w:r w:rsidR="00C0040A">
        <w:t xml:space="preserve">directly </w:t>
      </w:r>
      <w:r>
        <w:t>secure these additional contributions</w:t>
      </w:r>
      <w:r w:rsidR="007107BF">
        <w:t>.</w:t>
      </w:r>
    </w:p>
    <w:p w:rsidRPr="007E54DC" w:rsidR="00B1737E" w:rsidP="00B1737E" w:rsidRDefault="0003093E" w14:paraId="2B52156E" w14:textId="06CBC4EE" w14:noSpellErr="1">
      <w:pPr>
        <w:pStyle w:val="Heading1"/>
        <w:rPr/>
      </w:pPr>
      <w:bookmarkStart w:name="_Toc111401976" w:id="16"/>
      <w:bookmarkStart w:name="_Toc530297750" w:id="1845008193"/>
      <w:r w:rsidR="0003093E">
        <w:rPr/>
        <w:t xml:space="preserve">Section 2: </w:t>
      </w:r>
      <w:r w:rsidR="00B1737E">
        <w:rPr/>
        <w:t>Expected impact</w:t>
      </w:r>
      <w:bookmarkEnd w:id="1845008193"/>
    </w:p>
    <w:p w:rsidRPr="007E54DC" w:rsidR="00D15D16" w:rsidP="0022760D" w:rsidRDefault="0003093E" w14:paraId="23A208FC" w14:textId="56781532" w14:noSpellErr="1">
      <w:pPr>
        <w:pStyle w:val="Heading2"/>
        <w:rPr/>
      </w:pPr>
      <w:bookmarkStart w:name="_Toc1119951713" w:id="1671556761"/>
      <w:r w:rsidR="0003093E">
        <w:rPr/>
        <w:t xml:space="preserve">Section 2.1: </w:t>
      </w:r>
      <w:r w:rsidR="00D15D16">
        <w:rPr/>
        <w:t>What are the expected results?</w:t>
      </w:r>
      <w:bookmarkEnd w:id="16"/>
      <w:bookmarkEnd w:id="1671556761"/>
      <w:r w:rsidR="00D15D16">
        <w:rPr/>
        <w:t xml:space="preserve"> </w:t>
      </w:r>
    </w:p>
    <w:p w:rsidRPr="007E54DC" w:rsidR="00C0040A" w:rsidP="00C0040A" w:rsidRDefault="000F7D06" w14:paraId="63323167" w14:textId="324D42CC">
      <w:pPr>
        <w:spacing w:after="0"/>
      </w:pPr>
      <w:r w:rsidRPr="007E54DC">
        <w:t>The</w:t>
      </w:r>
      <w:r w:rsidRPr="007E54DC" w:rsidR="00C0040A">
        <w:t xml:space="preserve"> GFCR states it aims to: </w:t>
      </w:r>
    </w:p>
    <w:p w:rsidRPr="007E54DC" w:rsidR="00C0040A" w:rsidP="006628DE" w:rsidRDefault="00C0040A" w14:paraId="179E18A8" w14:textId="77777777">
      <w:pPr>
        <w:pStyle w:val="ListParagraph"/>
        <w:numPr>
          <w:ilvl w:val="0"/>
          <w:numId w:val="13"/>
        </w:numPr>
        <w:spacing w:after="0"/>
        <w:contextualSpacing w:val="0"/>
        <w:rPr>
          <w:rFonts w:eastAsia="Times New Roman"/>
        </w:rPr>
      </w:pPr>
      <w:r w:rsidRPr="007E54DC">
        <w:rPr>
          <w:rFonts w:eastAsia="Times New Roman"/>
        </w:rPr>
        <w:t>protect, restore and/or strengthen the conservation of 1 million Hectares of coral reefs </w:t>
      </w:r>
    </w:p>
    <w:p w:rsidRPr="007E54DC" w:rsidR="00C0040A" w:rsidP="006628DE" w:rsidRDefault="00C0040A" w14:paraId="2724AF83" w14:textId="77777777">
      <w:pPr>
        <w:pStyle w:val="ListParagraph"/>
        <w:numPr>
          <w:ilvl w:val="0"/>
          <w:numId w:val="13"/>
        </w:numPr>
        <w:spacing w:after="0"/>
        <w:contextualSpacing w:val="0"/>
        <w:rPr>
          <w:rFonts w:eastAsia="Times New Roman"/>
        </w:rPr>
      </w:pPr>
      <w:r w:rsidRPr="007E54DC">
        <w:rPr>
          <w:rFonts w:eastAsia="Times New Roman"/>
        </w:rPr>
        <w:t>support the development of 350 reef-positive businesses </w:t>
      </w:r>
    </w:p>
    <w:p w:rsidRPr="007E54DC" w:rsidR="00C0040A" w:rsidP="006628DE" w:rsidRDefault="00C0040A" w14:paraId="456DFD32" w14:textId="4783CFA5">
      <w:pPr>
        <w:pStyle w:val="ListParagraph"/>
        <w:numPr>
          <w:ilvl w:val="0"/>
          <w:numId w:val="13"/>
        </w:numPr>
        <w:spacing w:after="0"/>
        <w:rPr>
          <w:rFonts w:eastAsia="Times New Roman"/>
        </w:rPr>
      </w:pPr>
      <w:r w:rsidRPr="007E54DC">
        <w:rPr>
          <w:rFonts w:eastAsia="Times New Roman"/>
        </w:rPr>
        <w:t>support livelihoods, food security and resilience for 2</w:t>
      </w:r>
      <w:r w:rsidRPr="007E54DC" w:rsidR="006A444D">
        <w:rPr>
          <w:rFonts w:eastAsia="Times New Roman"/>
        </w:rPr>
        <w:t>-</w:t>
      </w:r>
      <w:r w:rsidRPr="007E54DC">
        <w:rPr>
          <w:rFonts w:eastAsia="Times New Roman"/>
        </w:rPr>
        <w:t>4 million coastal community beneficiaries </w:t>
      </w:r>
    </w:p>
    <w:p w:rsidRPr="007E54DC" w:rsidR="00C0040A" w:rsidP="006628DE" w:rsidRDefault="00C0040A" w14:paraId="4BFDD070" w14:textId="09BCF063">
      <w:pPr>
        <w:pStyle w:val="ListParagraph"/>
        <w:numPr>
          <w:ilvl w:val="0"/>
          <w:numId w:val="13"/>
        </w:numPr>
        <w:spacing w:after="240"/>
        <w:contextualSpacing w:val="0"/>
        <w:rPr>
          <w:rFonts w:eastAsia="Times New Roman"/>
        </w:rPr>
      </w:pPr>
      <w:r w:rsidRPr="007E54DC">
        <w:rPr>
          <w:rFonts w:eastAsia="Times New Roman"/>
        </w:rPr>
        <w:t>unlock grant and private finance for reef-positive solutions </w:t>
      </w:r>
    </w:p>
    <w:p w:rsidRPr="007E54DC" w:rsidR="00C0040A" w:rsidP="00D15D16" w:rsidRDefault="00D15D16" w14:paraId="3C956787" w14:textId="75136C16">
      <w:r w:rsidRPr="007E54DC">
        <w:t xml:space="preserve">The GFCR have now approved and begun implementing projects in Fiji, The Bahamas, Papua New Guinea, Philippines, the Mesoamerican Reef, and regionally in Kenya and Tanzania. By 2030, these programmes alone intend to increase the resilience of nearly 450,000 hectares of coral reefs by addressing local drivers of coral reef degradation, provide enhanced ecosystem services to over 380,000 local beneficiaries, create 3,800 new </w:t>
      </w:r>
      <w:proofErr w:type="gramStart"/>
      <w:r w:rsidRPr="007E54DC">
        <w:t>jobs</w:t>
      </w:r>
      <w:proofErr w:type="gramEnd"/>
      <w:r w:rsidRPr="007E54DC">
        <w:t xml:space="preserve"> and incubate more than 50 reef-positive interventions (Table </w:t>
      </w:r>
      <w:r w:rsidRPr="007E54DC" w:rsidR="00ED5B4B">
        <w:t>3</w:t>
      </w:r>
      <w:r w:rsidRPr="007E54DC">
        <w:t xml:space="preserve">). </w:t>
      </w:r>
      <w:r w:rsidRPr="007E54DC" w:rsidDel="001046C2">
        <w:t>Reef positive interventions vary, with some examples being MPAs, plastic recycling projects and blue finance mechanisms such as carbon credits.</w:t>
      </w:r>
      <w:r w:rsidRPr="007E54DC" w:rsidDel="001046C2" w:rsidR="00C0040A">
        <w:rPr>
          <w:rFonts w:ascii="Calibri" w:hAnsi="Calibri" w:cs="Calibri"/>
        </w:rPr>
        <w:t xml:space="preserve"> </w:t>
      </w:r>
    </w:p>
    <w:tbl>
      <w:tblPr>
        <w:tblStyle w:val="TableGrid"/>
        <w:tblW w:w="8424" w:type="dxa"/>
        <w:jc w:val="center"/>
        <w:tblLook w:val="04A0" w:firstRow="1" w:lastRow="0" w:firstColumn="1" w:lastColumn="0" w:noHBand="0" w:noVBand="1"/>
      </w:tblPr>
      <w:tblGrid>
        <w:gridCol w:w="2098"/>
        <w:gridCol w:w="1960"/>
        <w:gridCol w:w="1392"/>
        <w:gridCol w:w="1392"/>
        <w:gridCol w:w="1582"/>
      </w:tblGrid>
      <w:tr w:rsidRPr="007E54DC" w:rsidR="00D15D16" w:rsidTr="23A59346" w14:paraId="1E136E40" w14:textId="77777777">
        <w:trPr>
          <w:trHeight w:val="237"/>
          <w:jc w:val="center"/>
        </w:trPr>
        <w:tc>
          <w:tcPr>
            <w:tcW w:w="2098" w:type="dxa"/>
            <w:shd w:val="clear" w:color="auto" w:fill="008938"/>
            <w:noWrap/>
            <w:hideMark/>
          </w:tcPr>
          <w:p w:rsidRPr="007E54DC" w:rsidR="00D15D16" w:rsidP="00D15D16" w:rsidRDefault="00D15D16" w14:paraId="1B1CF3EC" w14:textId="77777777">
            <w:pPr>
              <w:spacing w:before="0" w:after="0"/>
              <w:jc w:val="center"/>
              <w:rPr>
                <w:b/>
                <w:bCs/>
                <w:color w:val="FFFFFF" w:themeColor="background1"/>
                <w:sz w:val="22"/>
                <w:szCs w:val="22"/>
              </w:rPr>
            </w:pPr>
            <w:r w:rsidRPr="007E54DC">
              <w:rPr>
                <w:b/>
                <w:bCs/>
                <w:color w:val="FFFFFF" w:themeColor="background1"/>
                <w:sz w:val="22"/>
                <w:szCs w:val="22"/>
              </w:rPr>
              <w:t>Country/Region</w:t>
            </w:r>
          </w:p>
        </w:tc>
        <w:tc>
          <w:tcPr>
            <w:tcW w:w="1960" w:type="dxa"/>
            <w:shd w:val="clear" w:color="auto" w:fill="008938"/>
            <w:noWrap/>
            <w:hideMark/>
          </w:tcPr>
          <w:p w:rsidRPr="007E54DC" w:rsidR="00D15D16" w:rsidP="00D15D16" w:rsidRDefault="00D15D16" w14:paraId="40C65716" w14:textId="77777777">
            <w:pPr>
              <w:spacing w:before="0" w:after="0"/>
              <w:jc w:val="center"/>
              <w:rPr>
                <w:b/>
                <w:bCs/>
                <w:color w:val="FFFFFF" w:themeColor="background1"/>
                <w:sz w:val="22"/>
                <w:szCs w:val="22"/>
              </w:rPr>
            </w:pPr>
            <w:r w:rsidRPr="007E54DC">
              <w:rPr>
                <w:b/>
                <w:bCs/>
                <w:color w:val="FFFFFF" w:themeColor="background1"/>
                <w:sz w:val="22"/>
                <w:szCs w:val="22"/>
              </w:rPr>
              <w:t>Hectares of coral reefs with greater resilience</w:t>
            </w:r>
          </w:p>
        </w:tc>
        <w:tc>
          <w:tcPr>
            <w:tcW w:w="1392" w:type="dxa"/>
            <w:shd w:val="clear" w:color="auto" w:fill="008938"/>
            <w:noWrap/>
            <w:hideMark/>
          </w:tcPr>
          <w:p w:rsidRPr="007E54DC" w:rsidR="00D15D16" w:rsidP="00D15D16" w:rsidRDefault="00D15D16" w14:paraId="1407C33B" w14:textId="77777777">
            <w:pPr>
              <w:spacing w:before="0" w:after="0"/>
              <w:jc w:val="center"/>
              <w:rPr>
                <w:b/>
                <w:bCs/>
                <w:color w:val="FFFFFF" w:themeColor="background1"/>
                <w:sz w:val="22"/>
                <w:szCs w:val="22"/>
              </w:rPr>
            </w:pPr>
            <w:r w:rsidRPr="007E54DC">
              <w:rPr>
                <w:b/>
                <w:bCs/>
                <w:color w:val="FFFFFF" w:themeColor="background1"/>
                <w:sz w:val="22"/>
                <w:szCs w:val="22"/>
              </w:rPr>
              <w:t>New jobs</w:t>
            </w:r>
          </w:p>
        </w:tc>
        <w:tc>
          <w:tcPr>
            <w:tcW w:w="1392" w:type="dxa"/>
            <w:shd w:val="clear" w:color="auto" w:fill="008938"/>
            <w:noWrap/>
            <w:hideMark/>
          </w:tcPr>
          <w:p w:rsidRPr="007E54DC" w:rsidR="00D15D16" w:rsidP="00D15D16" w:rsidRDefault="00D15D16" w14:paraId="08D978EA" w14:textId="77777777">
            <w:pPr>
              <w:spacing w:before="0" w:after="0"/>
              <w:jc w:val="center"/>
              <w:rPr>
                <w:b/>
                <w:bCs/>
                <w:color w:val="FFFFFF" w:themeColor="background1"/>
                <w:sz w:val="22"/>
                <w:szCs w:val="22"/>
              </w:rPr>
            </w:pPr>
            <w:r w:rsidRPr="007E54DC">
              <w:rPr>
                <w:b/>
                <w:bCs/>
                <w:color w:val="FFFFFF" w:themeColor="background1"/>
                <w:sz w:val="22"/>
                <w:szCs w:val="22"/>
              </w:rPr>
              <w:t>Beneficiaries</w:t>
            </w:r>
          </w:p>
        </w:tc>
        <w:tc>
          <w:tcPr>
            <w:tcW w:w="1582" w:type="dxa"/>
            <w:shd w:val="clear" w:color="auto" w:fill="008938"/>
            <w:hideMark/>
          </w:tcPr>
          <w:p w:rsidRPr="007E54DC" w:rsidR="00D15D16" w:rsidP="00D15D16" w:rsidRDefault="00D15D16" w14:paraId="1A00719E" w14:textId="77777777">
            <w:pPr>
              <w:spacing w:before="0" w:after="0"/>
              <w:jc w:val="center"/>
              <w:rPr>
                <w:b/>
                <w:bCs/>
                <w:color w:val="FFFFFF" w:themeColor="background1"/>
                <w:sz w:val="22"/>
                <w:szCs w:val="22"/>
              </w:rPr>
            </w:pPr>
            <w:r w:rsidRPr="007E54DC">
              <w:rPr>
                <w:b/>
                <w:bCs/>
                <w:color w:val="FFFFFF" w:themeColor="background1"/>
                <w:sz w:val="22"/>
                <w:szCs w:val="22"/>
              </w:rPr>
              <w:t>Reef positive interventions incubated</w:t>
            </w:r>
          </w:p>
        </w:tc>
      </w:tr>
      <w:tr w:rsidRPr="007E54DC" w:rsidR="00D15D16" w:rsidTr="23A59346" w14:paraId="61C683E4" w14:textId="77777777">
        <w:trPr>
          <w:trHeight w:val="219"/>
          <w:jc w:val="center"/>
        </w:trPr>
        <w:tc>
          <w:tcPr>
            <w:tcW w:w="2098" w:type="dxa"/>
            <w:noWrap/>
            <w:hideMark/>
          </w:tcPr>
          <w:p w:rsidRPr="007E54DC" w:rsidR="00D15D16" w:rsidP="0020111D" w:rsidRDefault="00D15D16" w14:paraId="6A795B66" w14:textId="77777777">
            <w:pPr>
              <w:spacing w:before="0" w:after="0"/>
              <w:rPr>
                <w:sz w:val="22"/>
                <w:szCs w:val="22"/>
              </w:rPr>
            </w:pPr>
            <w:r w:rsidRPr="007E54DC">
              <w:rPr>
                <w:sz w:val="22"/>
                <w:szCs w:val="22"/>
              </w:rPr>
              <w:t>Fiji</w:t>
            </w:r>
          </w:p>
        </w:tc>
        <w:tc>
          <w:tcPr>
            <w:tcW w:w="1960" w:type="dxa"/>
            <w:noWrap/>
            <w:hideMark/>
          </w:tcPr>
          <w:p w:rsidRPr="007E54DC" w:rsidR="00D15D16" w:rsidP="00244E09" w:rsidRDefault="00D15D16" w14:paraId="4CB44334" w14:textId="77777777">
            <w:pPr>
              <w:spacing w:before="0" w:after="0"/>
              <w:jc w:val="right"/>
              <w:rPr>
                <w:sz w:val="22"/>
                <w:szCs w:val="22"/>
              </w:rPr>
            </w:pPr>
            <w:r w:rsidRPr="007E54DC">
              <w:rPr>
                <w:sz w:val="22"/>
                <w:szCs w:val="22"/>
              </w:rPr>
              <w:t>49,000</w:t>
            </w:r>
          </w:p>
        </w:tc>
        <w:tc>
          <w:tcPr>
            <w:tcW w:w="1392" w:type="dxa"/>
            <w:noWrap/>
            <w:hideMark/>
          </w:tcPr>
          <w:p w:rsidRPr="007E54DC" w:rsidR="00D15D16" w:rsidP="00244E09" w:rsidRDefault="00D15D16" w14:paraId="3A82F1FD" w14:textId="77777777">
            <w:pPr>
              <w:spacing w:before="0" w:after="0"/>
              <w:jc w:val="right"/>
              <w:rPr>
                <w:sz w:val="22"/>
                <w:szCs w:val="22"/>
              </w:rPr>
            </w:pPr>
            <w:r w:rsidRPr="007E54DC">
              <w:rPr>
                <w:sz w:val="22"/>
                <w:szCs w:val="22"/>
              </w:rPr>
              <w:t>350</w:t>
            </w:r>
          </w:p>
        </w:tc>
        <w:tc>
          <w:tcPr>
            <w:tcW w:w="1392" w:type="dxa"/>
            <w:noWrap/>
            <w:hideMark/>
          </w:tcPr>
          <w:p w:rsidRPr="007E54DC" w:rsidR="00D15D16" w:rsidP="00244E09" w:rsidRDefault="00D15D16" w14:paraId="4C8A576B" w14:textId="77777777">
            <w:pPr>
              <w:spacing w:before="0" w:after="0"/>
              <w:jc w:val="right"/>
              <w:rPr>
                <w:sz w:val="22"/>
                <w:szCs w:val="22"/>
              </w:rPr>
            </w:pPr>
            <w:r w:rsidRPr="007E54DC">
              <w:rPr>
                <w:sz w:val="22"/>
                <w:szCs w:val="22"/>
              </w:rPr>
              <w:t>40,000</w:t>
            </w:r>
          </w:p>
        </w:tc>
        <w:tc>
          <w:tcPr>
            <w:tcW w:w="1582" w:type="dxa"/>
            <w:noWrap/>
            <w:hideMark/>
          </w:tcPr>
          <w:p w:rsidRPr="007E54DC" w:rsidR="00D15D16" w:rsidP="00244E09" w:rsidRDefault="00D15D16" w14:paraId="72487BE9" w14:textId="77777777">
            <w:pPr>
              <w:spacing w:before="0" w:after="0"/>
              <w:jc w:val="right"/>
              <w:rPr>
                <w:sz w:val="22"/>
                <w:szCs w:val="22"/>
              </w:rPr>
            </w:pPr>
            <w:r w:rsidRPr="007E54DC">
              <w:rPr>
                <w:sz w:val="22"/>
                <w:szCs w:val="22"/>
              </w:rPr>
              <w:t>15+</w:t>
            </w:r>
          </w:p>
        </w:tc>
      </w:tr>
      <w:tr w:rsidRPr="007E54DC" w:rsidR="00D15D16" w:rsidTr="23A59346" w14:paraId="2101F6FF" w14:textId="77777777">
        <w:trPr>
          <w:trHeight w:val="237"/>
          <w:jc w:val="center"/>
        </w:trPr>
        <w:tc>
          <w:tcPr>
            <w:tcW w:w="2098" w:type="dxa"/>
            <w:noWrap/>
            <w:hideMark/>
          </w:tcPr>
          <w:p w:rsidRPr="007E54DC" w:rsidR="00D15D16" w:rsidP="0020111D" w:rsidRDefault="00D15D16" w14:paraId="17BEB18D" w14:textId="77777777">
            <w:pPr>
              <w:spacing w:before="0" w:after="0"/>
              <w:rPr>
                <w:sz w:val="22"/>
                <w:szCs w:val="22"/>
              </w:rPr>
            </w:pPr>
            <w:r w:rsidRPr="007E54DC">
              <w:rPr>
                <w:sz w:val="22"/>
                <w:szCs w:val="22"/>
              </w:rPr>
              <w:t>Philippines</w:t>
            </w:r>
          </w:p>
        </w:tc>
        <w:tc>
          <w:tcPr>
            <w:tcW w:w="1960" w:type="dxa"/>
            <w:noWrap/>
            <w:hideMark/>
          </w:tcPr>
          <w:p w:rsidRPr="007E54DC" w:rsidR="00D15D16" w:rsidP="00244E09" w:rsidRDefault="00D15D16" w14:paraId="09AE1B09" w14:textId="77777777">
            <w:pPr>
              <w:spacing w:before="0" w:after="0"/>
              <w:jc w:val="right"/>
              <w:rPr>
                <w:sz w:val="22"/>
                <w:szCs w:val="22"/>
              </w:rPr>
            </w:pPr>
            <w:r w:rsidRPr="007E54DC">
              <w:rPr>
                <w:sz w:val="22"/>
                <w:szCs w:val="22"/>
              </w:rPr>
              <w:t>56,000</w:t>
            </w:r>
          </w:p>
        </w:tc>
        <w:tc>
          <w:tcPr>
            <w:tcW w:w="1392" w:type="dxa"/>
            <w:noWrap/>
            <w:hideMark/>
          </w:tcPr>
          <w:p w:rsidRPr="007E54DC" w:rsidR="00D15D16" w:rsidP="00244E09" w:rsidRDefault="00D15D16" w14:paraId="774FCD35" w14:textId="77777777">
            <w:pPr>
              <w:spacing w:before="0" w:after="0"/>
              <w:jc w:val="right"/>
              <w:rPr>
                <w:sz w:val="22"/>
                <w:szCs w:val="22"/>
              </w:rPr>
            </w:pPr>
            <w:r w:rsidRPr="007E54DC">
              <w:rPr>
                <w:sz w:val="22"/>
                <w:szCs w:val="22"/>
              </w:rPr>
              <w:t>1,700</w:t>
            </w:r>
          </w:p>
        </w:tc>
        <w:tc>
          <w:tcPr>
            <w:tcW w:w="1392" w:type="dxa"/>
            <w:noWrap/>
            <w:hideMark/>
          </w:tcPr>
          <w:p w:rsidRPr="007E54DC" w:rsidR="00D15D16" w:rsidP="00244E09" w:rsidRDefault="00D15D16" w14:paraId="4B805926" w14:textId="77777777">
            <w:pPr>
              <w:spacing w:before="0" w:after="0"/>
              <w:jc w:val="right"/>
              <w:rPr>
                <w:sz w:val="22"/>
                <w:szCs w:val="22"/>
              </w:rPr>
            </w:pPr>
            <w:r w:rsidRPr="007E54DC">
              <w:rPr>
                <w:sz w:val="22"/>
                <w:szCs w:val="22"/>
              </w:rPr>
              <w:t>250,000</w:t>
            </w:r>
          </w:p>
        </w:tc>
        <w:tc>
          <w:tcPr>
            <w:tcW w:w="1582" w:type="dxa"/>
            <w:noWrap/>
            <w:hideMark/>
          </w:tcPr>
          <w:p w:rsidRPr="007E54DC" w:rsidR="00D15D16" w:rsidP="00244E09" w:rsidRDefault="00D15D16" w14:paraId="15E8DA0E" w14:textId="77777777">
            <w:pPr>
              <w:spacing w:before="0" w:after="0"/>
              <w:jc w:val="right"/>
              <w:rPr>
                <w:sz w:val="22"/>
                <w:szCs w:val="22"/>
              </w:rPr>
            </w:pPr>
            <w:r w:rsidRPr="007E54DC">
              <w:rPr>
                <w:sz w:val="22"/>
                <w:szCs w:val="22"/>
              </w:rPr>
              <w:t>10+</w:t>
            </w:r>
          </w:p>
        </w:tc>
      </w:tr>
      <w:tr w:rsidRPr="007E54DC" w:rsidR="00D15D16" w:rsidTr="23A59346" w14:paraId="63C07E99" w14:textId="77777777">
        <w:trPr>
          <w:trHeight w:val="237"/>
          <w:jc w:val="center"/>
        </w:trPr>
        <w:tc>
          <w:tcPr>
            <w:tcW w:w="2098" w:type="dxa"/>
            <w:noWrap/>
            <w:hideMark/>
          </w:tcPr>
          <w:p w:rsidRPr="007E54DC" w:rsidR="00D15D16" w:rsidP="0020111D" w:rsidRDefault="5E6A6544" w14:paraId="636D590B" w14:textId="5DE91344">
            <w:pPr>
              <w:spacing w:before="0" w:after="0"/>
              <w:rPr>
                <w:sz w:val="22"/>
                <w:szCs w:val="22"/>
              </w:rPr>
            </w:pPr>
            <w:r w:rsidRPr="007E54DC">
              <w:rPr>
                <w:sz w:val="22"/>
                <w:szCs w:val="22"/>
              </w:rPr>
              <w:t>Bahamas</w:t>
            </w:r>
            <w:r w:rsidRPr="007E54DC" w:rsidR="00DF4C41">
              <w:rPr>
                <w:rStyle w:val="FootnoteReference"/>
                <w:sz w:val="22"/>
                <w:szCs w:val="22"/>
              </w:rPr>
              <w:footnoteReference w:id="12"/>
            </w:r>
          </w:p>
        </w:tc>
        <w:tc>
          <w:tcPr>
            <w:tcW w:w="1960" w:type="dxa"/>
            <w:noWrap/>
            <w:hideMark/>
          </w:tcPr>
          <w:p w:rsidRPr="007E54DC" w:rsidR="00D15D16" w:rsidP="00244E09" w:rsidRDefault="00D15D16" w14:paraId="74FDF4FA" w14:textId="77777777">
            <w:pPr>
              <w:spacing w:before="0" w:after="0"/>
              <w:jc w:val="right"/>
              <w:rPr>
                <w:sz w:val="22"/>
                <w:szCs w:val="22"/>
              </w:rPr>
            </w:pPr>
            <w:r w:rsidRPr="007E54DC">
              <w:rPr>
                <w:sz w:val="22"/>
                <w:szCs w:val="22"/>
              </w:rPr>
              <w:t>53,000</w:t>
            </w:r>
          </w:p>
        </w:tc>
        <w:tc>
          <w:tcPr>
            <w:tcW w:w="1392" w:type="dxa"/>
            <w:noWrap/>
            <w:hideMark/>
          </w:tcPr>
          <w:p w:rsidRPr="007E54DC" w:rsidR="00D15D16" w:rsidP="00244E09" w:rsidRDefault="00D15D16" w14:paraId="4DAC0FEF" w14:textId="77777777">
            <w:pPr>
              <w:spacing w:before="0" w:after="0"/>
              <w:jc w:val="right"/>
              <w:rPr>
                <w:sz w:val="22"/>
                <w:szCs w:val="22"/>
              </w:rPr>
            </w:pPr>
            <w:r w:rsidRPr="007E54DC">
              <w:rPr>
                <w:sz w:val="22"/>
                <w:szCs w:val="22"/>
              </w:rPr>
              <w:t>200</w:t>
            </w:r>
          </w:p>
        </w:tc>
        <w:tc>
          <w:tcPr>
            <w:tcW w:w="1392" w:type="dxa"/>
            <w:noWrap/>
            <w:hideMark/>
          </w:tcPr>
          <w:p w:rsidRPr="007E54DC" w:rsidR="00D15D16" w:rsidP="00244E09" w:rsidRDefault="00D15D16" w14:paraId="5CEC1A11" w14:textId="77777777">
            <w:pPr>
              <w:spacing w:before="0" w:after="0"/>
              <w:jc w:val="right"/>
              <w:rPr>
                <w:sz w:val="22"/>
                <w:szCs w:val="22"/>
              </w:rPr>
            </w:pPr>
            <w:r w:rsidRPr="007E54DC">
              <w:rPr>
                <w:sz w:val="22"/>
                <w:szCs w:val="22"/>
              </w:rPr>
              <w:t>83,000</w:t>
            </w:r>
          </w:p>
        </w:tc>
        <w:tc>
          <w:tcPr>
            <w:tcW w:w="1582" w:type="dxa"/>
            <w:noWrap/>
            <w:hideMark/>
          </w:tcPr>
          <w:p w:rsidRPr="007E54DC" w:rsidR="00D15D16" w:rsidP="00244E09" w:rsidRDefault="00D15D16" w14:paraId="68B0DAA3" w14:textId="77777777">
            <w:pPr>
              <w:spacing w:before="0" w:after="0"/>
              <w:jc w:val="right"/>
              <w:rPr>
                <w:sz w:val="22"/>
                <w:szCs w:val="22"/>
              </w:rPr>
            </w:pPr>
            <w:r w:rsidRPr="007E54DC">
              <w:rPr>
                <w:sz w:val="22"/>
                <w:szCs w:val="22"/>
              </w:rPr>
              <w:t>15+</w:t>
            </w:r>
          </w:p>
        </w:tc>
      </w:tr>
      <w:tr w:rsidRPr="007E54DC" w:rsidR="00D15D16" w:rsidTr="23A59346" w14:paraId="6F8C163E" w14:textId="77777777">
        <w:trPr>
          <w:trHeight w:val="237"/>
          <w:jc w:val="center"/>
        </w:trPr>
        <w:tc>
          <w:tcPr>
            <w:tcW w:w="2098" w:type="dxa"/>
            <w:noWrap/>
            <w:hideMark/>
          </w:tcPr>
          <w:p w:rsidRPr="007E54DC" w:rsidR="00D15D16" w:rsidP="0020111D" w:rsidRDefault="00D15D16" w14:paraId="6AC5962F" w14:textId="77777777">
            <w:pPr>
              <w:spacing w:before="0" w:after="0"/>
              <w:rPr>
                <w:sz w:val="22"/>
                <w:szCs w:val="22"/>
              </w:rPr>
            </w:pPr>
            <w:r w:rsidRPr="007E54DC">
              <w:rPr>
                <w:sz w:val="22"/>
                <w:szCs w:val="22"/>
              </w:rPr>
              <w:t>Papua New Guinea</w:t>
            </w:r>
          </w:p>
        </w:tc>
        <w:tc>
          <w:tcPr>
            <w:tcW w:w="1960" w:type="dxa"/>
            <w:noWrap/>
            <w:hideMark/>
          </w:tcPr>
          <w:p w:rsidRPr="007E54DC" w:rsidR="00D15D16" w:rsidP="00244E09" w:rsidRDefault="00D15D16" w14:paraId="391F8AC7" w14:textId="77777777">
            <w:pPr>
              <w:spacing w:before="0" w:after="0"/>
              <w:jc w:val="right"/>
              <w:rPr>
                <w:sz w:val="22"/>
                <w:szCs w:val="22"/>
              </w:rPr>
            </w:pPr>
            <w:r w:rsidRPr="007E54DC">
              <w:rPr>
                <w:sz w:val="22"/>
                <w:szCs w:val="22"/>
              </w:rPr>
              <w:t>23,000</w:t>
            </w:r>
          </w:p>
        </w:tc>
        <w:tc>
          <w:tcPr>
            <w:tcW w:w="1392" w:type="dxa"/>
            <w:noWrap/>
            <w:hideMark/>
          </w:tcPr>
          <w:p w:rsidRPr="007E54DC" w:rsidR="00D15D16" w:rsidP="00244E09" w:rsidRDefault="00D15D16" w14:paraId="0A1BB7F5" w14:textId="77777777">
            <w:pPr>
              <w:spacing w:before="0" w:after="0"/>
              <w:jc w:val="right"/>
              <w:rPr>
                <w:sz w:val="22"/>
                <w:szCs w:val="22"/>
              </w:rPr>
            </w:pPr>
            <w:r w:rsidRPr="007E54DC">
              <w:rPr>
                <w:sz w:val="22"/>
                <w:szCs w:val="22"/>
              </w:rPr>
              <w:t>250</w:t>
            </w:r>
          </w:p>
        </w:tc>
        <w:tc>
          <w:tcPr>
            <w:tcW w:w="1392" w:type="dxa"/>
            <w:noWrap/>
            <w:hideMark/>
          </w:tcPr>
          <w:p w:rsidRPr="007E54DC" w:rsidR="00D15D16" w:rsidP="00244E09" w:rsidRDefault="00D15D16" w14:paraId="646CE64D" w14:textId="77777777">
            <w:pPr>
              <w:spacing w:before="0" w:after="0"/>
              <w:jc w:val="right"/>
              <w:rPr>
                <w:sz w:val="22"/>
                <w:szCs w:val="22"/>
              </w:rPr>
            </w:pPr>
            <w:r w:rsidRPr="007E54DC">
              <w:rPr>
                <w:sz w:val="22"/>
                <w:szCs w:val="22"/>
              </w:rPr>
              <w:t>10,000</w:t>
            </w:r>
          </w:p>
        </w:tc>
        <w:tc>
          <w:tcPr>
            <w:tcW w:w="1582" w:type="dxa"/>
            <w:noWrap/>
            <w:hideMark/>
          </w:tcPr>
          <w:p w:rsidRPr="007E54DC" w:rsidR="00D15D16" w:rsidP="00244E09" w:rsidRDefault="5E6A6544" w14:paraId="40CC0FEF" w14:textId="77777777">
            <w:pPr>
              <w:spacing w:before="0" w:after="0"/>
              <w:jc w:val="right"/>
              <w:rPr>
                <w:sz w:val="22"/>
                <w:szCs w:val="22"/>
              </w:rPr>
            </w:pPr>
            <w:r w:rsidRPr="007E54DC">
              <w:rPr>
                <w:sz w:val="22"/>
                <w:szCs w:val="22"/>
              </w:rPr>
              <w:t>10*</w:t>
            </w:r>
            <w:r w:rsidRPr="007E54DC" w:rsidR="00D15D16">
              <w:rPr>
                <w:rStyle w:val="FootnoteReference"/>
                <w:sz w:val="22"/>
                <w:szCs w:val="22"/>
              </w:rPr>
              <w:footnoteReference w:id="13"/>
            </w:r>
          </w:p>
        </w:tc>
      </w:tr>
      <w:tr w:rsidRPr="007E54DC" w:rsidR="00D15D16" w:rsidTr="23A59346" w14:paraId="3AD4E621" w14:textId="77777777">
        <w:trPr>
          <w:trHeight w:val="237"/>
          <w:jc w:val="center"/>
        </w:trPr>
        <w:tc>
          <w:tcPr>
            <w:tcW w:w="2098" w:type="dxa"/>
            <w:noWrap/>
            <w:hideMark/>
          </w:tcPr>
          <w:p w:rsidRPr="007E54DC" w:rsidR="00D15D16" w:rsidP="0020111D" w:rsidRDefault="00D15D16" w14:paraId="6C3E413B" w14:textId="77777777">
            <w:pPr>
              <w:spacing w:before="0" w:after="0"/>
              <w:rPr>
                <w:sz w:val="22"/>
                <w:szCs w:val="22"/>
              </w:rPr>
            </w:pPr>
            <w:r w:rsidRPr="007E54DC">
              <w:rPr>
                <w:sz w:val="22"/>
                <w:szCs w:val="22"/>
              </w:rPr>
              <w:t>Kenya Tanzania</w:t>
            </w:r>
          </w:p>
        </w:tc>
        <w:tc>
          <w:tcPr>
            <w:tcW w:w="1960" w:type="dxa"/>
            <w:noWrap/>
            <w:hideMark/>
          </w:tcPr>
          <w:p w:rsidRPr="007E54DC" w:rsidR="00D15D16" w:rsidP="00244E09" w:rsidRDefault="00D15D16" w14:paraId="2B596640" w14:textId="77777777">
            <w:pPr>
              <w:spacing w:before="0" w:after="0"/>
              <w:jc w:val="right"/>
              <w:rPr>
                <w:sz w:val="22"/>
                <w:szCs w:val="22"/>
              </w:rPr>
            </w:pPr>
            <w:r w:rsidRPr="007E54DC">
              <w:rPr>
                <w:sz w:val="22"/>
                <w:szCs w:val="22"/>
              </w:rPr>
              <w:t>34,000</w:t>
            </w:r>
          </w:p>
        </w:tc>
        <w:tc>
          <w:tcPr>
            <w:tcW w:w="1392" w:type="dxa"/>
            <w:noWrap/>
            <w:hideMark/>
          </w:tcPr>
          <w:p w:rsidRPr="007E54DC" w:rsidR="00D15D16" w:rsidP="00244E09" w:rsidRDefault="00D15D16" w14:paraId="1FB47BCB" w14:textId="77777777">
            <w:pPr>
              <w:spacing w:before="0" w:after="0"/>
              <w:jc w:val="right"/>
              <w:rPr>
                <w:sz w:val="22"/>
                <w:szCs w:val="22"/>
              </w:rPr>
            </w:pPr>
            <w:r w:rsidRPr="007E54DC">
              <w:rPr>
                <w:sz w:val="22"/>
                <w:szCs w:val="22"/>
              </w:rPr>
              <w:t>TBD</w:t>
            </w:r>
          </w:p>
        </w:tc>
        <w:tc>
          <w:tcPr>
            <w:tcW w:w="1392" w:type="dxa"/>
            <w:noWrap/>
            <w:hideMark/>
          </w:tcPr>
          <w:p w:rsidRPr="007E54DC" w:rsidR="00D15D16" w:rsidP="00244E09" w:rsidRDefault="00D15D16" w14:paraId="69FDECB7" w14:textId="77777777">
            <w:pPr>
              <w:spacing w:before="0" w:after="0"/>
              <w:jc w:val="right"/>
              <w:rPr>
                <w:sz w:val="22"/>
                <w:szCs w:val="22"/>
              </w:rPr>
            </w:pPr>
            <w:r w:rsidRPr="007E54DC">
              <w:rPr>
                <w:sz w:val="22"/>
                <w:szCs w:val="22"/>
              </w:rPr>
              <w:t>100</w:t>
            </w:r>
          </w:p>
        </w:tc>
        <w:tc>
          <w:tcPr>
            <w:tcW w:w="1582" w:type="dxa"/>
            <w:noWrap/>
            <w:hideMark/>
          </w:tcPr>
          <w:p w:rsidRPr="007E54DC" w:rsidR="00D15D16" w:rsidP="00244E09" w:rsidRDefault="00D15D16" w14:paraId="4D6F1DBE" w14:textId="77777777">
            <w:pPr>
              <w:spacing w:before="0" w:after="0"/>
              <w:jc w:val="right"/>
              <w:rPr>
                <w:sz w:val="22"/>
                <w:szCs w:val="22"/>
              </w:rPr>
            </w:pPr>
            <w:r w:rsidRPr="007E54DC">
              <w:rPr>
                <w:sz w:val="22"/>
                <w:szCs w:val="22"/>
              </w:rPr>
              <w:t>6*</w:t>
            </w:r>
          </w:p>
        </w:tc>
      </w:tr>
      <w:tr w:rsidRPr="007E54DC" w:rsidR="00D15D16" w:rsidTr="23A59346" w14:paraId="112BE611" w14:textId="77777777">
        <w:trPr>
          <w:trHeight w:val="237"/>
          <w:jc w:val="center"/>
        </w:trPr>
        <w:tc>
          <w:tcPr>
            <w:tcW w:w="2098" w:type="dxa"/>
            <w:noWrap/>
            <w:hideMark/>
          </w:tcPr>
          <w:p w:rsidRPr="007E54DC" w:rsidR="00D15D16" w:rsidP="0020111D" w:rsidRDefault="00D15D16" w14:paraId="148D4D3E" w14:textId="77777777">
            <w:pPr>
              <w:spacing w:before="0" w:after="0"/>
              <w:rPr>
                <w:sz w:val="22"/>
                <w:szCs w:val="22"/>
              </w:rPr>
            </w:pPr>
            <w:r w:rsidRPr="007E54DC">
              <w:rPr>
                <w:sz w:val="22"/>
                <w:szCs w:val="22"/>
              </w:rPr>
              <w:t>Indonesia #1</w:t>
            </w:r>
          </w:p>
        </w:tc>
        <w:tc>
          <w:tcPr>
            <w:tcW w:w="1960" w:type="dxa"/>
            <w:noWrap/>
            <w:hideMark/>
          </w:tcPr>
          <w:p w:rsidRPr="007E54DC" w:rsidR="00D15D16" w:rsidP="00244E09" w:rsidRDefault="00D15D16" w14:paraId="0BD9016B" w14:textId="77777777">
            <w:pPr>
              <w:spacing w:before="0" w:after="0"/>
              <w:jc w:val="right"/>
              <w:rPr>
                <w:sz w:val="22"/>
                <w:szCs w:val="22"/>
              </w:rPr>
            </w:pPr>
            <w:r w:rsidRPr="007E54DC">
              <w:rPr>
                <w:sz w:val="22"/>
                <w:szCs w:val="22"/>
              </w:rPr>
              <w:t>154,000</w:t>
            </w:r>
          </w:p>
        </w:tc>
        <w:tc>
          <w:tcPr>
            <w:tcW w:w="1392" w:type="dxa"/>
            <w:noWrap/>
            <w:hideMark/>
          </w:tcPr>
          <w:p w:rsidRPr="007E54DC" w:rsidR="00D15D16" w:rsidP="00244E09" w:rsidRDefault="00D15D16" w14:paraId="1F181AB3" w14:textId="77777777">
            <w:pPr>
              <w:spacing w:before="0" w:after="0"/>
              <w:jc w:val="right"/>
              <w:rPr>
                <w:sz w:val="22"/>
                <w:szCs w:val="22"/>
              </w:rPr>
            </w:pPr>
            <w:r w:rsidRPr="007E54DC">
              <w:rPr>
                <w:sz w:val="22"/>
                <w:szCs w:val="22"/>
              </w:rPr>
              <w:t>300</w:t>
            </w:r>
          </w:p>
        </w:tc>
        <w:tc>
          <w:tcPr>
            <w:tcW w:w="1392" w:type="dxa"/>
            <w:noWrap/>
            <w:hideMark/>
          </w:tcPr>
          <w:p w:rsidRPr="007E54DC" w:rsidR="00D15D16" w:rsidP="00244E09" w:rsidRDefault="00D15D16" w14:paraId="7AC4FAAC" w14:textId="77777777">
            <w:pPr>
              <w:spacing w:before="0" w:after="0"/>
              <w:jc w:val="right"/>
              <w:rPr>
                <w:sz w:val="22"/>
                <w:szCs w:val="22"/>
              </w:rPr>
            </w:pPr>
            <w:r w:rsidRPr="007E54DC">
              <w:rPr>
                <w:sz w:val="22"/>
                <w:szCs w:val="22"/>
              </w:rPr>
              <w:t>TBD</w:t>
            </w:r>
          </w:p>
        </w:tc>
        <w:tc>
          <w:tcPr>
            <w:tcW w:w="1582" w:type="dxa"/>
            <w:noWrap/>
            <w:hideMark/>
          </w:tcPr>
          <w:p w:rsidRPr="007E54DC" w:rsidR="00D15D16" w:rsidP="00244E09" w:rsidRDefault="00D15D16" w14:paraId="71D19AC8" w14:textId="77777777">
            <w:pPr>
              <w:spacing w:before="0" w:after="0"/>
              <w:jc w:val="right"/>
              <w:rPr>
                <w:sz w:val="22"/>
                <w:szCs w:val="22"/>
              </w:rPr>
            </w:pPr>
            <w:r w:rsidRPr="007E54DC">
              <w:rPr>
                <w:sz w:val="22"/>
                <w:szCs w:val="22"/>
              </w:rPr>
              <w:t>TBD</w:t>
            </w:r>
          </w:p>
        </w:tc>
      </w:tr>
      <w:tr w:rsidRPr="007E54DC" w:rsidR="00D15D16" w:rsidTr="23A59346" w14:paraId="5F71F0C0" w14:textId="77777777">
        <w:trPr>
          <w:trHeight w:val="237"/>
          <w:jc w:val="center"/>
        </w:trPr>
        <w:tc>
          <w:tcPr>
            <w:tcW w:w="2098" w:type="dxa"/>
            <w:noWrap/>
            <w:hideMark/>
          </w:tcPr>
          <w:p w:rsidRPr="007E54DC" w:rsidR="00D15D16" w:rsidP="0020111D" w:rsidRDefault="00D15D16" w14:paraId="5C25D3F2" w14:textId="77777777">
            <w:pPr>
              <w:spacing w:before="0" w:after="0"/>
              <w:rPr>
                <w:sz w:val="22"/>
                <w:szCs w:val="22"/>
              </w:rPr>
            </w:pPr>
            <w:r w:rsidRPr="007E54DC">
              <w:rPr>
                <w:sz w:val="22"/>
                <w:szCs w:val="22"/>
              </w:rPr>
              <w:t>MAR+</w:t>
            </w:r>
          </w:p>
        </w:tc>
        <w:tc>
          <w:tcPr>
            <w:tcW w:w="1960" w:type="dxa"/>
            <w:noWrap/>
            <w:hideMark/>
          </w:tcPr>
          <w:p w:rsidRPr="007E54DC" w:rsidR="00D15D16" w:rsidP="00244E09" w:rsidRDefault="00D15D16" w14:paraId="3240C67A" w14:textId="77777777">
            <w:pPr>
              <w:spacing w:before="0" w:after="0"/>
              <w:jc w:val="right"/>
              <w:rPr>
                <w:sz w:val="22"/>
                <w:szCs w:val="22"/>
              </w:rPr>
            </w:pPr>
            <w:r w:rsidRPr="007E54DC">
              <w:rPr>
                <w:sz w:val="22"/>
                <w:szCs w:val="22"/>
              </w:rPr>
              <w:t>77,000</w:t>
            </w:r>
          </w:p>
        </w:tc>
        <w:tc>
          <w:tcPr>
            <w:tcW w:w="1392" w:type="dxa"/>
            <w:noWrap/>
            <w:hideMark/>
          </w:tcPr>
          <w:p w:rsidRPr="007E54DC" w:rsidR="00D15D16" w:rsidP="00244E09" w:rsidRDefault="00D15D16" w14:paraId="7A0B0ECF" w14:textId="77777777">
            <w:pPr>
              <w:spacing w:before="0" w:after="0"/>
              <w:jc w:val="right"/>
              <w:rPr>
                <w:sz w:val="22"/>
                <w:szCs w:val="22"/>
              </w:rPr>
            </w:pPr>
            <w:r w:rsidRPr="007E54DC">
              <w:rPr>
                <w:sz w:val="22"/>
                <w:szCs w:val="22"/>
              </w:rPr>
              <w:t>1,000</w:t>
            </w:r>
          </w:p>
        </w:tc>
        <w:tc>
          <w:tcPr>
            <w:tcW w:w="1392" w:type="dxa"/>
            <w:noWrap/>
            <w:hideMark/>
          </w:tcPr>
          <w:p w:rsidRPr="007E54DC" w:rsidR="00D15D16" w:rsidP="00244E09" w:rsidRDefault="00D15D16" w14:paraId="154408E6" w14:textId="77777777">
            <w:pPr>
              <w:spacing w:before="0" w:after="0"/>
              <w:jc w:val="right"/>
              <w:rPr>
                <w:sz w:val="22"/>
                <w:szCs w:val="22"/>
              </w:rPr>
            </w:pPr>
            <w:r w:rsidRPr="007E54DC">
              <w:rPr>
                <w:sz w:val="22"/>
                <w:szCs w:val="22"/>
              </w:rPr>
              <w:t>TBD</w:t>
            </w:r>
          </w:p>
        </w:tc>
        <w:tc>
          <w:tcPr>
            <w:tcW w:w="1582" w:type="dxa"/>
            <w:noWrap/>
            <w:hideMark/>
          </w:tcPr>
          <w:p w:rsidRPr="007E54DC" w:rsidR="00D15D16" w:rsidP="00244E09" w:rsidRDefault="00D15D16" w14:paraId="6E161008" w14:textId="77777777">
            <w:pPr>
              <w:spacing w:before="0" w:after="0"/>
              <w:jc w:val="right"/>
              <w:rPr>
                <w:sz w:val="22"/>
                <w:szCs w:val="22"/>
              </w:rPr>
            </w:pPr>
            <w:r w:rsidRPr="007E54DC">
              <w:rPr>
                <w:sz w:val="22"/>
                <w:szCs w:val="22"/>
              </w:rPr>
              <w:t>TBD</w:t>
            </w:r>
          </w:p>
        </w:tc>
      </w:tr>
      <w:tr w:rsidRPr="007E54DC" w:rsidR="00D15D16" w:rsidTr="23A59346" w14:paraId="53F8B5F3" w14:textId="77777777">
        <w:trPr>
          <w:trHeight w:val="237"/>
          <w:jc w:val="center"/>
        </w:trPr>
        <w:tc>
          <w:tcPr>
            <w:tcW w:w="2098" w:type="dxa"/>
            <w:shd w:val="clear" w:color="auto" w:fill="E2EFD9" w:themeFill="accent6" w:themeFillTint="33"/>
            <w:noWrap/>
            <w:hideMark/>
          </w:tcPr>
          <w:p w:rsidRPr="007E54DC" w:rsidR="00D15D16" w:rsidP="0020111D" w:rsidRDefault="00D15D16" w14:paraId="312DDAAE" w14:textId="77777777">
            <w:pPr>
              <w:spacing w:before="0" w:after="0"/>
              <w:rPr>
                <w:b/>
                <w:bCs/>
                <w:sz w:val="22"/>
                <w:szCs w:val="22"/>
              </w:rPr>
            </w:pPr>
            <w:r w:rsidRPr="007E54DC">
              <w:rPr>
                <w:b/>
                <w:bCs/>
                <w:sz w:val="22"/>
                <w:szCs w:val="22"/>
              </w:rPr>
              <w:t>Total</w:t>
            </w:r>
          </w:p>
        </w:tc>
        <w:tc>
          <w:tcPr>
            <w:tcW w:w="1960" w:type="dxa"/>
            <w:shd w:val="clear" w:color="auto" w:fill="E2EFD9" w:themeFill="accent6" w:themeFillTint="33"/>
            <w:noWrap/>
            <w:hideMark/>
          </w:tcPr>
          <w:p w:rsidRPr="007E54DC" w:rsidR="00D15D16" w:rsidP="00244E09" w:rsidRDefault="00D15D16" w14:paraId="472B1263" w14:textId="77777777">
            <w:pPr>
              <w:spacing w:before="0" w:after="0"/>
              <w:jc w:val="right"/>
              <w:rPr>
                <w:b/>
                <w:bCs/>
                <w:sz w:val="22"/>
                <w:szCs w:val="22"/>
              </w:rPr>
            </w:pPr>
            <w:r w:rsidRPr="007E54DC">
              <w:rPr>
                <w:b/>
                <w:bCs/>
                <w:sz w:val="22"/>
                <w:szCs w:val="22"/>
              </w:rPr>
              <w:t>447,000</w:t>
            </w:r>
          </w:p>
        </w:tc>
        <w:tc>
          <w:tcPr>
            <w:tcW w:w="1392" w:type="dxa"/>
            <w:shd w:val="clear" w:color="auto" w:fill="E2EFD9" w:themeFill="accent6" w:themeFillTint="33"/>
            <w:noWrap/>
            <w:hideMark/>
          </w:tcPr>
          <w:p w:rsidRPr="007E54DC" w:rsidR="00D15D16" w:rsidP="00244E09" w:rsidRDefault="00D15D16" w14:paraId="5A6D3D40" w14:textId="77777777">
            <w:pPr>
              <w:spacing w:before="0" w:after="0"/>
              <w:jc w:val="right"/>
              <w:rPr>
                <w:b/>
                <w:bCs/>
                <w:sz w:val="22"/>
                <w:szCs w:val="22"/>
              </w:rPr>
            </w:pPr>
            <w:r w:rsidRPr="007E54DC">
              <w:rPr>
                <w:b/>
                <w:bCs/>
                <w:sz w:val="22"/>
                <w:szCs w:val="22"/>
              </w:rPr>
              <w:t>3,800</w:t>
            </w:r>
          </w:p>
        </w:tc>
        <w:tc>
          <w:tcPr>
            <w:tcW w:w="1392" w:type="dxa"/>
            <w:shd w:val="clear" w:color="auto" w:fill="E2EFD9" w:themeFill="accent6" w:themeFillTint="33"/>
            <w:noWrap/>
            <w:hideMark/>
          </w:tcPr>
          <w:p w:rsidRPr="007E54DC" w:rsidR="00D15D16" w:rsidP="00244E09" w:rsidRDefault="00D15D16" w14:paraId="2BD39F8F" w14:textId="77777777">
            <w:pPr>
              <w:spacing w:before="0" w:after="0"/>
              <w:jc w:val="right"/>
              <w:rPr>
                <w:b/>
                <w:bCs/>
                <w:sz w:val="22"/>
                <w:szCs w:val="22"/>
              </w:rPr>
            </w:pPr>
            <w:r w:rsidRPr="007E54DC">
              <w:rPr>
                <w:b/>
                <w:bCs/>
                <w:sz w:val="22"/>
                <w:szCs w:val="22"/>
              </w:rPr>
              <w:t>383,000</w:t>
            </w:r>
          </w:p>
        </w:tc>
        <w:tc>
          <w:tcPr>
            <w:tcW w:w="1582" w:type="dxa"/>
            <w:shd w:val="clear" w:color="auto" w:fill="E2EFD9" w:themeFill="accent6" w:themeFillTint="33"/>
            <w:noWrap/>
            <w:hideMark/>
          </w:tcPr>
          <w:p w:rsidRPr="007E54DC" w:rsidR="00D15D16" w:rsidP="00244E09" w:rsidRDefault="00D15D16" w14:paraId="709D0C95" w14:textId="77777777">
            <w:pPr>
              <w:spacing w:before="0" w:after="0"/>
              <w:jc w:val="right"/>
              <w:rPr>
                <w:b/>
                <w:bCs/>
                <w:sz w:val="22"/>
                <w:szCs w:val="22"/>
              </w:rPr>
            </w:pPr>
            <w:r w:rsidRPr="007E54DC">
              <w:rPr>
                <w:b/>
                <w:bCs/>
                <w:sz w:val="22"/>
                <w:szCs w:val="22"/>
              </w:rPr>
              <w:t>56</w:t>
            </w:r>
          </w:p>
        </w:tc>
      </w:tr>
      <w:tr w:rsidRPr="007E54DC" w:rsidR="00D15D16" w:rsidTr="23A59346" w14:paraId="666B21F1" w14:textId="77777777">
        <w:trPr>
          <w:trHeight w:val="237"/>
          <w:jc w:val="center"/>
        </w:trPr>
        <w:tc>
          <w:tcPr>
            <w:tcW w:w="2098" w:type="dxa"/>
            <w:shd w:val="clear" w:color="auto" w:fill="E2EFD9" w:themeFill="accent6" w:themeFillTint="33"/>
            <w:noWrap/>
          </w:tcPr>
          <w:p w:rsidRPr="007E54DC" w:rsidR="00D15D16" w:rsidP="0020111D" w:rsidRDefault="5E6A6544" w14:paraId="07691501" w14:textId="77777777">
            <w:pPr>
              <w:spacing w:before="0" w:after="0"/>
              <w:rPr>
                <w:b/>
                <w:bCs/>
                <w:sz w:val="22"/>
                <w:szCs w:val="22"/>
              </w:rPr>
            </w:pPr>
            <w:r w:rsidRPr="007E54DC">
              <w:rPr>
                <w:b/>
                <w:bCs/>
                <w:sz w:val="22"/>
                <w:szCs w:val="22"/>
              </w:rPr>
              <w:t>UK Attribution</w:t>
            </w:r>
            <w:r w:rsidRPr="007E54DC" w:rsidR="00D15D16">
              <w:rPr>
                <w:rStyle w:val="FootnoteReference"/>
                <w:b/>
                <w:bCs/>
                <w:sz w:val="22"/>
                <w:szCs w:val="22"/>
              </w:rPr>
              <w:footnoteReference w:id="14"/>
            </w:r>
          </w:p>
        </w:tc>
        <w:tc>
          <w:tcPr>
            <w:tcW w:w="1960" w:type="dxa"/>
            <w:shd w:val="clear" w:color="auto" w:fill="E2EFD9" w:themeFill="accent6" w:themeFillTint="33"/>
            <w:noWrap/>
          </w:tcPr>
          <w:p w:rsidRPr="007E54DC" w:rsidR="00D15D16" w:rsidP="00244E09" w:rsidRDefault="00D15D16" w14:paraId="65578627" w14:textId="77777777">
            <w:pPr>
              <w:spacing w:before="0" w:after="0"/>
              <w:jc w:val="right"/>
              <w:rPr>
                <w:b/>
                <w:bCs/>
                <w:sz w:val="22"/>
                <w:szCs w:val="22"/>
              </w:rPr>
            </w:pPr>
            <w:r w:rsidRPr="007E54DC">
              <w:rPr>
                <w:b/>
                <w:bCs/>
                <w:sz w:val="22"/>
                <w:szCs w:val="22"/>
              </w:rPr>
              <w:t>191,000</w:t>
            </w:r>
          </w:p>
        </w:tc>
        <w:tc>
          <w:tcPr>
            <w:tcW w:w="1392" w:type="dxa"/>
            <w:shd w:val="clear" w:color="auto" w:fill="E2EFD9" w:themeFill="accent6" w:themeFillTint="33"/>
            <w:noWrap/>
          </w:tcPr>
          <w:p w:rsidRPr="007E54DC" w:rsidR="00D15D16" w:rsidP="00244E09" w:rsidRDefault="00D15D16" w14:paraId="69C2683F" w14:textId="77777777">
            <w:pPr>
              <w:spacing w:before="0" w:after="0"/>
              <w:jc w:val="right"/>
              <w:rPr>
                <w:b/>
                <w:bCs/>
                <w:sz w:val="22"/>
                <w:szCs w:val="22"/>
              </w:rPr>
            </w:pPr>
            <w:r w:rsidRPr="007E54DC">
              <w:rPr>
                <w:b/>
                <w:bCs/>
                <w:sz w:val="22"/>
                <w:szCs w:val="22"/>
              </w:rPr>
              <w:t>1600</w:t>
            </w:r>
          </w:p>
        </w:tc>
        <w:tc>
          <w:tcPr>
            <w:tcW w:w="1392" w:type="dxa"/>
            <w:shd w:val="clear" w:color="auto" w:fill="E2EFD9" w:themeFill="accent6" w:themeFillTint="33"/>
            <w:noWrap/>
          </w:tcPr>
          <w:p w:rsidRPr="007E54DC" w:rsidR="00D15D16" w:rsidP="00244E09" w:rsidRDefault="00D15D16" w14:paraId="6226302C" w14:textId="77777777">
            <w:pPr>
              <w:spacing w:before="0" w:after="0"/>
              <w:jc w:val="right"/>
              <w:rPr>
                <w:b/>
                <w:bCs/>
                <w:sz w:val="22"/>
                <w:szCs w:val="22"/>
              </w:rPr>
            </w:pPr>
            <w:r w:rsidRPr="007E54DC">
              <w:rPr>
                <w:b/>
                <w:bCs/>
                <w:sz w:val="22"/>
                <w:szCs w:val="22"/>
              </w:rPr>
              <w:t>164,000</w:t>
            </w:r>
          </w:p>
        </w:tc>
        <w:tc>
          <w:tcPr>
            <w:tcW w:w="1582" w:type="dxa"/>
            <w:shd w:val="clear" w:color="auto" w:fill="E2EFD9" w:themeFill="accent6" w:themeFillTint="33"/>
            <w:noWrap/>
          </w:tcPr>
          <w:p w:rsidRPr="007E54DC" w:rsidR="00D15D16" w:rsidP="00244E09" w:rsidRDefault="00D15D16" w14:paraId="6E12E86A" w14:textId="77777777">
            <w:pPr>
              <w:keepNext/>
              <w:spacing w:before="0" w:after="0"/>
              <w:jc w:val="right"/>
              <w:rPr>
                <w:b/>
                <w:bCs/>
                <w:sz w:val="22"/>
                <w:szCs w:val="22"/>
              </w:rPr>
            </w:pPr>
            <w:r w:rsidRPr="007E54DC">
              <w:rPr>
                <w:b/>
                <w:bCs/>
                <w:sz w:val="22"/>
                <w:szCs w:val="22"/>
              </w:rPr>
              <w:t>24</w:t>
            </w:r>
          </w:p>
        </w:tc>
      </w:tr>
    </w:tbl>
    <w:p w:rsidRPr="007E54DC" w:rsidR="000D55A3" w:rsidP="000D55A3" w:rsidRDefault="000D55A3" w14:paraId="5B54C839" w14:textId="11138CE9">
      <w:pPr>
        <w:pStyle w:val="Caption"/>
      </w:pPr>
      <w:bookmarkStart w:name="_Toc132104913" w:id="18"/>
      <w:r w:rsidRPr="007E54DC">
        <w:t xml:space="preserve">Table </w:t>
      </w:r>
      <w:r w:rsidRPr="007E54DC">
        <w:fldChar w:fldCharType="begin"/>
      </w:r>
      <w:r w:rsidRPr="007E54DC">
        <w:instrText>SEQ Table \* ARABIC</w:instrText>
      </w:r>
      <w:r w:rsidRPr="007E54DC">
        <w:fldChar w:fldCharType="separate"/>
      </w:r>
      <w:r w:rsidR="00B9356F">
        <w:rPr>
          <w:noProof/>
        </w:rPr>
        <w:t>3</w:t>
      </w:r>
      <w:r w:rsidRPr="007E54DC">
        <w:fldChar w:fldCharType="end"/>
      </w:r>
      <w:r w:rsidRPr="007E54DC">
        <w:t xml:space="preserve"> - Projected Impacts for </w:t>
      </w:r>
      <w:r w:rsidRPr="007E54DC" w:rsidR="00C535EE">
        <w:t xml:space="preserve">approved </w:t>
      </w:r>
      <w:r w:rsidRPr="007E54DC">
        <w:t>GFCR projects by 2030</w:t>
      </w:r>
      <w:bookmarkEnd w:id="18"/>
    </w:p>
    <w:p w:rsidRPr="007E54DC" w:rsidR="00C0040A" w:rsidP="00C0040A" w:rsidRDefault="001046C2" w14:paraId="7F1B4E4A" w14:textId="6350D4F1">
      <w:bookmarkStart w:name="_Toc111401977" w:id="19"/>
      <w:r w:rsidRPr="007E54DC">
        <w:t>Reef positive interventions vary, with some examples being in MPAs, plastic recycling projects and blue finance mechanisms such as carbon credits.</w:t>
      </w:r>
      <w:r w:rsidRPr="007E54DC">
        <w:rPr>
          <w:rFonts w:ascii="Calibri" w:hAnsi="Calibri" w:cs="Calibri"/>
        </w:rPr>
        <w:t xml:space="preserve"> </w:t>
      </w:r>
      <w:r w:rsidRPr="007E54DC" w:rsidR="00C0040A">
        <w:t xml:space="preserve">Mangrove and seagrass habitats will </w:t>
      </w:r>
      <w:r w:rsidRPr="007E54DC">
        <w:t xml:space="preserve">likely </w:t>
      </w:r>
      <w:r w:rsidRPr="007E54DC" w:rsidR="00C0040A">
        <w:t>benefit through many projects, while wider benefits will be incurred through tourism, sustainable finance, and local businesses. Sustainable financing will be supported by investable business models which include revenue generating MPAs, sustainable fisheries, plastic and waste management, mariculture, ecotourism, and blue carbon. </w:t>
      </w:r>
    </w:p>
    <w:p w:rsidRPr="007E54DC" w:rsidR="006B5C93" w:rsidP="00C0040A" w:rsidRDefault="00002C9C" w14:paraId="1D45C822" w14:textId="4AAA0915">
      <w:r w:rsidRPr="007E54DC">
        <w:rPr>
          <w:rFonts w:ascii="Calibri" w:hAnsi="Calibri" w:eastAsia="Calibri" w:cs="Calibri"/>
          <w:color w:val="000000" w:themeColor="text1"/>
        </w:rPr>
        <w:t xml:space="preserve">Projects go through a two-stage qualitative assessment, firstly involving a self-assessment against the GFCR approaches and criteria, followed by a collaborative review to assess their technical merit, ensure proposals align with the GFCR, and are likely to deliver on their strategic outcomes. </w:t>
      </w:r>
      <w:r w:rsidRPr="007E54DC" w:rsidR="00C0040A">
        <w:t xml:space="preserve">With a wide range of additional projects already in the pipeline, the total benefits are likely to significantly exceed those set out in Table </w:t>
      </w:r>
      <w:r w:rsidRPr="007E54DC" w:rsidR="00973FEF">
        <w:t>3</w:t>
      </w:r>
      <w:r w:rsidRPr="007E54DC" w:rsidR="00C0040A">
        <w:t xml:space="preserve"> as the GFCR continues to scale up globally (see Benefits section of Economic Appraisal</w:t>
      </w:r>
      <w:r w:rsidRPr="007E54DC" w:rsidR="00982F96">
        <w:t xml:space="preserve"> and Economic Annex</w:t>
      </w:r>
      <w:r w:rsidRPr="007E54DC" w:rsidR="00415877">
        <w:t xml:space="preserve"> </w:t>
      </w:r>
      <w:r w:rsidRPr="007E54DC" w:rsidR="006E0401">
        <w:t>E</w:t>
      </w:r>
      <w:r w:rsidRPr="007E54DC" w:rsidR="00C0040A">
        <w:t>). The UK’s additional funding will be invested into the continued implementation of this scaling pipeline and in addition it is expected catalyse other donor contributions.</w:t>
      </w:r>
      <w:r w:rsidRPr="007E54DC">
        <w:t xml:space="preserve"> </w:t>
      </w:r>
    </w:p>
    <w:p w:rsidRPr="007E54DC" w:rsidR="00C0040A" w:rsidP="00C0040A" w:rsidRDefault="00C0040A" w14:paraId="395EA637" w14:textId="2F8C9A27">
      <w:r w:rsidRPr="007E54DC">
        <w:t xml:space="preserve">It will, for example, directly and </w:t>
      </w:r>
      <w:r w:rsidRPr="007E54DC">
        <w:rPr>
          <w:rFonts w:ascii="Calibri" w:hAnsi="Calibri" w:cs="Calibri"/>
        </w:rPr>
        <w:t>fully unlock the last $2m committed by the Paul G Allen family foundation as well as send strong signals to other donors as mentioned. This high potential to leverage additional finance in the short to medium term mitigates the risk of the UK carrying a large burden share (see</w:t>
      </w:r>
      <w:r w:rsidRPr="007E54DC" w:rsidR="07ED1F11">
        <w:rPr>
          <w:rFonts w:ascii="Calibri" w:hAnsi="Calibri" w:cs="Calibri"/>
        </w:rPr>
        <w:t xml:space="preserve"> </w:t>
      </w:r>
      <w:hyperlink w:anchor="_Annex_C_–">
        <w:r w:rsidRPr="007E54DC" w:rsidR="00937D38">
          <w:rPr>
            <w:rStyle w:val="Hyperlink"/>
            <w:rFonts w:ascii="Calibri" w:hAnsi="Calibri" w:cs="Calibri"/>
          </w:rPr>
          <w:t xml:space="preserve">Annex </w:t>
        </w:r>
        <w:r w:rsidRPr="007E54DC" w:rsidR="006E0401">
          <w:rPr>
            <w:rStyle w:val="Hyperlink"/>
            <w:rFonts w:ascii="Calibri" w:hAnsi="Calibri" w:cs="Calibri"/>
          </w:rPr>
          <w:t>E</w:t>
        </w:r>
      </w:hyperlink>
      <w:r w:rsidRPr="007E54DC">
        <w:rPr>
          <w:rFonts w:ascii="Calibri" w:hAnsi="Calibri" w:cs="Calibri"/>
        </w:rPr>
        <w:t>)</w:t>
      </w:r>
      <w:r w:rsidRPr="007E54DC">
        <w:t>.</w:t>
      </w:r>
    </w:p>
    <w:p w:rsidRPr="007E54DC" w:rsidR="00D15D16" w:rsidP="006E055F" w:rsidRDefault="00982F96" w14:paraId="3DB24AAD" w14:textId="0D210367" w14:noSpellErr="1">
      <w:pPr>
        <w:pStyle w:val="Heading3"/>
        <w:rPr/>
      </w:pPr>
      <w:bookmarkStart w:name="_Toc696311570" w:id="190260355"/>
      <w:r w:rsidR="00982F96">
        <w:rPr/>
        <w:t xml:space="preserve">Performance against </w:t>
      </w:r>
      <w:r w:rsidR="00D15D16">
        <w:rPr/>
        <w:t>BPF Key Performance Indicators</w:t>
      </w:r>
      <w:bookmarkEnd w:id="190260355"/>
      <w:r w:rsidR="00D15D16">
        <w:rPr/>
        <w:t> </w:t>
      </w:r>
      <w:bookmarkEnd w:id="19"/>
    </w:p>
    <w:p w:rsidRPr="007E54DC" w:rsidR="00D15D16" w:rsidP="33396CB0" w:rsidRDefault="00D15D16" w14:paraId="7BE7A948" w14:textId="1F7BA607">
      <w:r w:rsidRPr="007E54DC">
        <w:t xml:space="preserve">Due to the infancy and ongoing development of </w:t>
      </w:r>
      <w:r w:rsidRPr="007E54DC" w:rsidR="00BC2F87">
        <w:t xml:space="preserve">the </w:t>
      </w:r>
      <w:r w:rsidRPr="007E54DC">
        <w:t xml:space="preserve">GFCR programme, it is too soon to formally evaluate progress against </w:t>
      </w:r>
      <w:r w:rsidRPr="007E54DC" w:rsidR="001046C2">
        <w:t xml:space="preserve">many of </w:t>
      </w:r>
      <w:r w:rsidRPr="007E54DC">
        <w:t xml:space="preserve">the </w:t>
      </w:r>
      <w:r w:rsidRPr="007E54DC" w:rsidR="00982F96">
        <w:t>f</w:t>
      </w:r>
      <w:r w:rsidRPr="007E54DC" w:rsidR="0066496D">
        <w:t xml:space="preserve">und level </w:t>
      </w:r>
      <w:r w:rsidRPr="007E54DC">
        <w:t xml:space="preserve">KPIs. </w:t>
      </w:r>
      <w:r w:rsidRPr="007E54DC" w:rsidR="0066496D">
        <w:t xml:space="preserve">However, there has been significant progress at the project level, </w:t>
      </w:r>
      <w:r w:rsidRPr="007E54DC" w:rsidR="00982F96">
        <w:t xml:space="preserve">most notably </w:t>
      </w:r>
      <w:r w:rsidRPr="007E54DC" w:rsidR="0066496D">
        <w:t>through the investment in Fiji</w:t>
      </w:r>
      <w:r w:rsidRPr="007E54DC" w:rsidR="00BC4918">
        <w:t xml:space="preserve">, </w:t>
      </w:r>
      <w:r w:rsidRPr="007E54DC" w:rsidR="2825CEF3">
        <w:t>which is the most established of the GFCR projects</w:t>
      </w:r>
      <w:r w:rsidRPr="007E54DC" w:rsidR="00BC4918">
        <w:t xml:space="preserve"> </w:t>
      </w:r>
      <w:r w:rsidRPr="007E54DC" w:rsidR="0066496D">
        <w:t xml:space="preserve">(see section below on </w:t>
      </w:r>
      <w:r w:rsidRPr="007E54DC" w:rsidR="0066496D">
        <w:rPr>
          <w:i/>
          <w:iCs/>
        </w:rPr>
        <w:t>Annual Review</w:t>
      </w:r>
      <w:r w:rsidRPr="007E54DC" w:rsidR="0066496D">
        <w:t>.)</w:t>
      </w:r>
      <w:r w:rsidRPr="007E54DC">
        <w:t xml:space="preserve"> The BPF KPIs </w:t>
      </w:r>
      <w:r w:rsidRPr="007E54DC" w:rsidR="37BEBC28">
        <w:t xml:space="preserve">are </w:t>
      </w:r>
      <w:r w:rsidRPr="007E54DC">
        <w:t>also continuing to be refined,</w:t>
      </w:r>
      <w:r w:rsidRPr="007E54DC" w:rsidR="00982F96">
        <w:t xml:space="preserve"> so assessment against them until they are finalised is not possible.</w:t>
      </w:r>
    </w:p>
    <w:p w:rsidRPr="007E54DC" w:rsidR="00D15D16" w:rsidP="00D15D16" w:rsidRDefault="00D15D16" w14:paraId="01563894" w14:textId="7DE82326">
      <w:r w:rsidRPr="007E54DC">
        <w:t>The GFCR</w:t>
      </w:r>
      <w:r w:rsidRPr="007E54DC" w:rsidR="00BB2AD4">
        <w:t>s</w:t>
      </w:r>
      <w:r w:rsidRPr="007E54DC">
        <w:t xml:space="preserve"> expected impact in Table </w:t>
      </w:r>
      <w:r w:rsidRPr="007E54DC" w:rsidR="00973FEF">
        <w:t>4</w:t>
      </w:r>
      <w:r w:rsidRPr="007E54DC">
        <w:t xml:space="preserve"> considers impact </w:t>
      </w:r>
      <w:r w:rsidRPr="007E54DC" w:rsidR="001046C2">
        <w:t xml:space="preserve">based on </w:t>
      </w:r>
      <w:r w:rsidRPr="007E54DC">
        <w:t xml:space="preserve">the </w:t>
      </w:r>
      <w:r w:rsidRPr="007E54DC" w:rsidR="001046C2">
        <w:t xml:space="preserve">delivery of </w:t>
      </w:r>
      <w:r w:rsidRPr="007E54DC">
        <w:t>programmes initiated in 2021/22, which can be</w:t>
      </w:r>
      <w:r w:rsidRPr="007E54DC" w:rsidR="00AB69BF">
        <w:t xml:space="preserve"> indicatively</w:t>
      </w:r>
      <w:r w:rsidRPr="007E54DC">
        <w:t xml:space="preserve"> attributed to the UK</w:t>
      </w:r>
      <w:r w:rsidRPr="007E54DC" w:rsidR="001046C2">
        <w:t>. This has been indicatively determined</w:t>
      </w:r>
      <w:r w:rsidRPr="007E54DC">
        <w:t xml:space="preserve"> </w:t>
      </w:r>
      <w:r w:rsidRPr="007E54DC" w:rsidR="001046C2">
        <w:t xml:space="preserve">by the </w:t>
      </w:r>
      <w:r w:rsidRPr="007E54DC">
        <w:t>proportion of grant funding made up by UK contributions. It does not include projects which have not yet been approved</w:t>
      </w:r>
      <w:r w:rsidRPr="007E54DC" w:rsidR="00982F96">
        <w:t xml:space="preserve"> so is considered conservative.</w:t>
      </w:r>
    </w:p>
    <w:p w:rsidRPr="007E54DC" w:rsidR="00681AFB" w:rsidP="00D15D16" w:rsidRDefault="00D15D16" w14:paraId="692FC280" w14:textId="2C55631F">
      <w:r w:rsidRPr="007E54DC">
        <w:t>Going forwards, learnings from the early projects</w:t>
      </w:r>
      <w:r w:rsidRPr="007E54DC" w:rsidR="006B5C93">
        <w:t xml:space="preserve"> </w:t>
      </w:r>
      <w:r w:rsidRPr="007E54DC">
        <w:t xml:space="preserve">will be incorporated </w:t>
      </w:r>
      <w:r w:rsidRPr="007E54DC" w:rsidR="25935D40">
        <w:t xml:space="preserve">into </w:t>
      </w:r>
      <w:r w:rsidRPr="007E54DC">
        <w:t xml:space="preserve">to future proposals and into </w:t>
      </w:r>
      <w:r w:rsidRPr="007E54DC" w:rsidR="00982F96">
        <w:t xml:space="preserve">future </w:t>
      </w:r>
      <w:r w:rsidRPr="007E54DC">
        <w:t>Defra Annual Review</w:t>
      </w:r>
      <w:r w:rsidRPr="007E54DC" w:rsidR="00982F96">
        <w:t>s</w:t>
      </w:r>
      <w:r w:rsidRPr="007E54DC">
        <w:t xml:space="preserve"> of the GFCR</w:t>
      </w:r>
      <w:r w:rsidRPr="007E54DC" w:rsidR="00896619">
        <w:t xml:space="preserve"> </w:t>
      </w:r>
      <w:r w:rsidRPr="007E54DC" w:rsidR="004F54D8">
        <w:t>(</w:t>
      </w:r>
      <w:r w:rsidRPr="007E54DC" w:rsidR="001046C2">
        <w:t>f</w:t>
      </w:r>
      <w:r w:rsidRPr="007E54DC" w:rsidR="004F54D8">
        <w:t xml:space="preserve">or more information on YR1 lessons and recommendations please see Annex </w:t>
      </w:r>
      <w:r w:rsidRPr="007E54DC" w:rsidR="00BD392D">
        <w:t>D</w:t>
      </w:r>
      <w:r w:rsidRPr="007E54DC" w:rsidR="004F54D8">
        <w:t xml:space="preserve">, the year 1 </w:t>
      </w:r>
      <w:r w:rsidRPr="007E54DC" w:rsidR="007C2A6B">
        <w:t>A</w:t>
      </w:r>
      <w:r w:rsidRPr="00857311" w:rsidR="004F54D8">
        <w:t>nnual Review</w:t>
      </w:r>
      <w:r w:rsidRPr="007E54DC" w:rsidR="004F54D8">
        <w:t>).</w:t>
      </w:r>
      <w:r w:rsidRPr="007E54DC">
        <w:t xml:space="preserve">  Table </w:t>
      </w:r>
      <w:r w:rsidRPr="007E54DC" w:rsidR="00973FEF">
        <w:t>4</w:t>
      </w:r>
      <w:r w:rsidRPr="007E54DC">
        <w:t xml:space="preserve"> below shows</w:t>
      </w:r>
      <w:r w:rsidRPr="007E54DC" w:rsidR="00982F96">
        <w:t xml:space="preserve"> alignment </w:t>
      </w:r>
      <w:r w:rsidRPr="007E54DC" w:rsidR="00982F96">
        <w:t xml:space="preserve">between </w:t>
      </w:r>
      <w:r w:rsidRPr="007E54DC">
        <w:t>GFCR target</w:t>
      </w:r>
      <w:r w:rsidRPr="007E54DC" w:rsidR="00982F96">
        <w:t xml:space="preserve"> outcomes and BPF KPIs and that the Fund </w:t>
      </w:r>
      <w:r w:rsidRPr="007E54DC">
        <w:t xml:space="preserve">will </w:t>
      </w:r>
      <w:r w:rsidRPr="007E54DC" w:rsidR="00982F96">
        <w:t xml:space="preserve">likely </w:t>
      </w:r>
      <w:r w:rsidRPr="007E54DC">
        <w:t>contribute towards the BPF’s KPIs</w:t>
      </w:r>
      <w:r w:rsidRPr="007E54DC" w:rsidR="00982F96">
        <w:t xml:space="preserve"> once they are fully developed</w:t>
      </w:r>
      <w:r w:rsidRPr="007E54DC">
        <w:t>.</w:t>
      </w:r>
    </w:p>
    <w:tbl>
      <w:tblPr>
        <w:tblStyle w:val="TableGrid"/>
        <w:tblW w:w="5000" w:type="pct"/>
        <w:jc w:val="center"/>
        <w:tblLook w:val="04A0" w:firstRow="1" w:lastRow="0" w:firstColumn="1" w:lastColumn="0" w:noHBand="0" w:noVBand="1"/>
      </w:tblPr>
      <w:tblGrid>
        <w:gridCol w:w="4287"/>
        <w:gridCol w:w="4719"/>
      </w:tblGrid>
      <w:tr w:rsidRPr="007E54DC" w:rsidR="00D15D16" w:rsidTr="23A59346" w14:paraId="55D6E3D0" w14:textId="77777777">
        <w:trPr>
          <w:trHeight w:val="210"/>
          <w:jc w:val="center"/>
        </w:trPr>
        <w:tc>
          <w:tcPr>
            <w:tcW w:w="2380" w:type="pct"/>
            <w:shd w:val="clear" w:color="auto" w:fill="008938"/>
            <w:hideMark/>
          </w:tcPr>
          <w:p w:rsidRPr="007E54DC" w:rsidR="00D15D16" w:rsidP="00D15D16" w:rsidRDefault="00982F96" w14:paraId="20F54868" w14:textId="4102FFFA">
            <w:pPr>
              <w:spacing w:before="0" w:after="0"/>
              <w:jc w:val="left"/>
              <w:rPr>
                <w:b/>
                <w:bCs/>
                <w:color w:val="FFFFFF" w:themeColor="background1"/>
                <w:sz w:val="22"/>
                <w:szCs w:val="22"/>
              </w:rPr>
            </w:pPr>
            <w:r w:rsidRPr="007E54DC">
              <w:rPr>
                <w:b/>
                <w:bCs/>
                <w:color w:val="FFFFFF" w:themeColor="background1"/>
                <w:sz w:val="22"/>
                <w:szCs w:val="22"/>
              </w:rPr>
              <w:t xml:space="preserve">BPF </w:t>
            </w:r>
            <w:r w:rsidRPr="007E54DC" w:rsidR="00D15D16">
              <w:rPr>
                <w:b/>
                <w:bCs/>
                <w:color w:val="FFFFFF" w:themeColor="background1"/>
                <w:sz w:val="22"/>
                <w:szCs w:val="22"/>
              </w:rPr>
              <w:t>KPI Measure</w:t>
            </w:r>
          </w:p>
        </w:tc>
        <w:tc>
          <w:tcPr>
            <w:tcW w:w="2620" w:type="pct"/>
            <w:shd w:val="clear" w:color="auto" w:fill="008938"/>
            <w:hideMark/>
          </w:tcPr>
          <w:p w:rsidRPr="007E54DC" w:rsidR="00D15D16" w:rsidP="00D15D16" w:rsidRDefault="00D15D16" w14:paraId="7CE77094" w14:textId="36E7032B">
            <w:pPr>
              <w:spacing w:before="0" w:after="0"/>
              <w:jc w:val="left"/>
              <w:rPr>
                <w:b/>
                <w:bCs/>
                <w:color w:val="FFFFFF" w:themeColor="background1"/>
                <w:sz w:val="22"/>
                <w:szCs w:val="22"/>
              </w:rPr>
            </w:pPr>
            <w:r w:rsidRPr="007E54DC">
              <w:rPr>
                <w:b/>
                <w:bCs/>
                <w:color w:val="FFFFFF" w:themeColor="background1"/>
                <w:sz w:val="22"/>
                <w:szCs w:val="22"/>
              </w:rPr>
              <w:t xml:space="preserve">GFCR </w:t>
            </w:r>
            <w:proofErr w:type="spellStart"/>
            <w:r w:rsidRPr="007E54DC">
              <w:rPr>
                <w:b/>
                <w:bCs/>
                <w:color w:val="FFFFFF" w:themeColor="background1"/>
                <w:sz w:val="22"/>
                <w:szCs w:val="22"/>
              </w:rPr>
              <w:t>mpact</w:t>
            </w:r>
            <w:proofErr w:type="spellEnd"/>
          </w:p>
        </w:tc>
      </w:tr>
      <w:tr w:rsidRPr="007E54DC" w:rsidR="000D55A3" w:rsidTr="23A59346" w14:paraId="63B82B26" w14:textId="77777777">
        <w:trPr>
          <w:jc w:val="center"/>
        </w:trPr>
        <w:tc>
          <w:tcPr>
            <w:tcW w:w="2380" w:type="pct"/>
            <w:hideMark/>
          </w:tcPr>
          <w:p w:rsidRPr="007E54DC" w:rsidR="000D55A3" w:rsidP="000D55A3" w:rsidRDefault="000D55A3" w14:paraId="2FEE7AC1" w14:textId="77777777">
            <w:pPr>
              <w:spacing w:before="0" w:after="0"/>
              <w:jc w:val="left"/>
              <w:rPr>
                <w:sz w:val="22"/>
                <w:szCs w:val="22"/>
              </w:rPr>
            </w:pPr>
            <w:r w:rsidRPr="007E54DC">
              <w:rPr>
                <w:b/>
                <w:bCs/>
                <w:sz w:val="22"/>
                <w:szCs w:val="22"/>
              </w:rPr>
              <w:t>KPI 1:</w:t>
            </w:r>
            <w:r w:rsidRPr="007E54DC">
              <w:rPr>
                <w:sz w:val="22"/>
                <w:szCs w:val="22"/>
              </w:rPr>
              <w:t xml:space="preserve"> Volume of finance mobilised for purposes which match BPF objectives.  </w:t>
            </w:r>
          </w:p>
        </w:tc>
        <w:tc>
          <w:tcPr>
            <w:tcW w:w="2620" w:type="pct"/>
            <w:hideMark/>
          </w:tcPr>
          <w:p w:rsidRPr="007E54DC" w:rsidR="000D55A3" w:rsidP="000D55A3" w:rsidRDefault="47EA4966" w14:paraId="6AE80FEF" w14:textId="10321418">
            <w:pPr>
              <w:spacing w:before="0" w:after="0"/>
              <w:jc w:val="left"/>
              <w:rPr>
                <w:sz w:val="22"/>
                <w:szCs w:val="22"/>
              </w:rPr>
            </w:pPr>
            <w:r w:rsidRPr="007E54DC">
              <w:rPr>
                <w:sz w:val="22"/>
                <w:szCs w:val="22"/>
              </w:rPr>
              <w:t xml:space="preserve">So far £23m </w:t>
            </w:r>
            <w:r w:rsidRPr="007E54DC" w:rsidR="5A46495F">
              <w:rPr>
                <w:sz w:val="22"/>
                <w:szCs w:val="22"/>
              </w:rPr>
              <w:t xml:space="preserve">raised </w:t>
            </w:r>
            <w:r w:rsidRPr="007E54DC">
              <w:rPr>
                <w:sz w:val="22"/>
                <w:szCs w:val="22"/>
              </w:rPr>
              <w:t>in grant funding</w:t>
            </w:r>
            <w:r w:rsidRPr="007E54DC" w:rsidR="00DF7984">
              <w:rPr>
                <w:rStyle w:val="FootnoteReference"/>
                <w:sz w:val="22"/>
                <w:szCs w:val="22"/>
              </w:rPr>
              <w:footnoteReference w:id="15"/>
            </w:r>
            <w:r w:rsidRPr="007E54DC" w:rsidR="0E3AC895">
              <w:t xml:space="preserve"> </w:t>
            </w:r>
            <w:r w:rsidRPr="007E54DC">
              <w:rPr>
                <w:sz w:val="22"/>
                <w:szCs w:val="22"/>
              </w:rPr>
              <w:t xml:space="preserve">and </w:t>
            </w:r>
            <w:r w:rsidRPr="007E54DC" w:rsidR="5A46495F">
              <w:rPr>
                <w:sz w:val="22"/>
                <w:szCs w:val="22"/>
              </w:rPr>
              <w:t>~</w:t>
            </w:r>
            <w:r w:rsidRPr="007E54DC">
              <w:rPr>
                <w:sz w:val="22"/>
                <w:szCs w:val="22"/>
              </w:rPr>
              <w:t xml:space="preserve">£102m </w:t>
            </w:r>
            <w:r w:rsidRPr="007E54DC" w:rsidR="5A46495F">
              <w:rPr>
                <w:sz w:val="22"/>
                <w:szCs w:val="22"/>
              </w:rPr>
              <w:t xml:space="preserve">($150m) </w:t>
            </w:r>
            <w:r w:rsidRPr="007E54DC">
              <w:rPr>
                <w:sz w:val="22"/>
                <w:szCs w:val="22"/>
              </w:rPr>
              <w:t>in equity through the Green Climate Fund between 2020-2022 (</w:t>
            </w:r>
            <w:hyperlink w:history="1" w:anchor="_Grant_Commitments_1">
              <w:r w:rsidRPr="007E54DC">
                <w:rPr>
                  <w:rStyle w:val="Hyperlink"/>
                  <w:sz w:val="22"/>
                  <w:szCs w:val="22"/>
                </w:rPr>
                <w:t>see Table</w:t>
              </w:r>
              <w:r w:rsidRPr="007E54DC" w:rsidR="483F7670">
                <w:rPr>
                  <w:rStyle w:val="Hyperlink"/>
                  <w:sz w:val="22"/>
                  <w:szCs w:val="22"/>
                </w:rPr>
                <w:t xml:space="preserve"> </w:t>
              </w:r>
              <w:r w:rsidRPr="007E54DC" w:rsidR="6CF2FE50">
                <w:rPr>
                  <w:rStyle w:val="Hyperlink"/>
                  <w:sz w:val="22"/>
                  <w:szCs w:val="22"/>
                </w:rPr>
                <w:t>1</w:t>
              </w:r>
              <w:r w:rsidRPr="007E54DC" w:rsidR="6CF2FE50">
                <w:rPr>
                  <w:rStyle w:val="Hyperlink"/>
                </w:rPr>
                <w:t>0</w:t>
              </w:r>
            </w:hyperlink>
            <w:r w:rsidRPr="007E54DC">
              <w:rPr>
                <w:sz w:val="22"/>
                <w:szCs w:val="22"/>
              </w:rPr>
              <w:t>) </w:t>
            </w:r>
            <w:r w:rsidRPr="007E54DC" w:rsidR="42E36CF2">
              <w:rPr>
                <w:sz w:val="22"/>
                <w:szCs w:val="22"/>
              </w:rPr>
              <w:t xml:space="preserve"> </w:t>
            </w:r>
          </w:p>
        </w:tc>
      </w:tr>
      <w:tr w:rsidRPr="007E54DC" w:rsidR="000D55A3" w:rsidTr="23A59346" w14:paraId="4AFF6E4F" w14:textId="77777777">
        <w:trPr>
          <w:jc w:val="center"/>
        </w:trPr>
        <w:tc>
          <w:tcPr>
            <w:tcW w:w="2380" w:type="pct"/>
            <w:shd w:val="clear" w:color="auto" w:fill="EFF6EA"/>
            <w:hideMark/>
          </w:tcPr>
          <w:p w:rsidRPr="007E54DC" w:rsidR="000D55A3" w:rsidP="000D55A3" w:rsidRDefault="000D55A3" w14:paraId="2B5C3D3A" w14:textId="77777777">
            <w:pPr>
              <w:spacing w:before="0" w:after="0"/>
              <w:jc w:val="left"/>
              <w:rPr>
                <w:sz w:val="22"/>
                <w:szCs w:val="22"/>
              </w:rPr>
            </w:pPr>
            <w:r w:rsidRPr="007E54DC">
              <w:rPr>
                <w:b/>
                <w:bCs/>
                <w:sz w:val="22"/>
                <w:szCs w:val="22"/>
              </w:rPr>
              <w:t>KPI 2:</w:t>
            </w:r>
            <w:r w:rsidRPr="007E54DC">
              <w:rPr>
                <w:sz w:val="22"/>
                <w:szCs w:val="22"/>
              </w:rPr>
              <w:t xml:space="preserve"> Development Outcome: Number of people, </w:t>
            </w:r>
            <w:proofErr w:type="gramStart"/>
            <w:r w:rsidRPr="007E54DC">
              <w:rPr>
                <w:sz w:val="22"/>
                <w:szCs w:val="22"/>
              </w:rPr>
              <w:t>as a result of</w:t>
            </w:r>
            <w:proofErr w:type="gramEnd"/>
            <w:r w:rsidRPr="007E54DC">
              <w:rPr>
                <w:sz w:val="22"/>
                <w:szCs w:val="22"/>
              </w:rPr>
              <w:t xml:space="preserve"> BPF finance, with improved outcomes: </w:t>
            </w:r>
            <w:proofErr w:type="spellStart"/>
            <w:r w:rsidRPr="007E54DC">
              <w:rPr>
                <w:sz w:val="22"/>
                <w:szCs w:val="22"/>
              </w:rPr>
              <w:t>i</w:t>
            </w:r>
            <w:proofErr w:type="spellEnd"/>
            <w:r w:rsidRPr="007E54DC">
              <w:rPr>
                <w:sz w:val="22"/>
                <w:szCs w:val="22"/>
              </w:rPr>
              <w:t>) income; ii) ability to cope with the effects of climate change; iii) climate resilience; iv) food security and nutrition; v) waste management. </w:t>
            </w:r>
          </w:p>
        </w:tc>
        <w:tc>
          <w:tcPr>
            <w:tcW w:w="2620" w:type="pct"/>
            <w:shd w:val="clear" w:color="auto" w:fill="EFF6EA"/>
            <w:hideMark/>
          </w:tcPr>
          <w:p w:rsidRPr="007E54DC" w:rsidR="000D55A3" w:rsidP="000D55A3" w:rsidRDefault="00D05B92" w14:paraId="0CA5AD8B" w14:textId="0DE645F8">
            <w:pPr>
              <w:spacing w:before="0" w:after="0"/>
              <w:jc w:val="left"/>
              <w:rPr>
                <w:sz w:val="22"/>
                <w:szCs w:val="22"/>
              </w:rPr>
            </w:pPr>
            <w:r w:rsidRPr="007E54DC">
              <w:rPr>
                <w:sz w:val="22"/>
                <w:szCs w:val="22"/>
              </w:rPr>
              <w:t xml:space="preserve">GFCR targeting </w:t>
            </w:r>
            <w:r w:rsidRPr="007E54DC" w:rsidR="000D55A3">
              <w:rPr>
                <w:sz w:val="22"/>
                <w:szCs w:val="22"/>
              </w:rPr>
              <w:t xml:space="preserve">160,000 people </w:t>
            </w:r>
            <w:r w:rsidRPr="007E54DC" w:rsidR="00356F9B">
              <w:rPr>
                <w:sz w:val="22"/>
                <w:szCs w:val="22"/>
              </w:rPr>
              <w:t>t</w:t>
            </w:r>
            <w:r w:rsidRPr="007E54DC" w:rsidR="000D55A3">
              <w:rPr>
                <w:sz w:val="22"/>
                <w:szCs w:val="22"/>
              </w:rPr>
              <w:t>o benefit through the 7 programmes initiated so far once completed </w:t>
            </w:r>
            <w:r w:rsidRPr="007E54DC" w:rsidR="00E65B6F">
              <w:rPr>
                <w:sz w:val="22"/>
                <w:szCs w:val="22"/>
              </w:rPr>
              <w:t>(attributable to the UK)</w:t>
            </w:r>
          </w:p>
        </w:tc>
      </w:tr>
      <w:tr w:rsidRPr="007E54DC" w:rsidR="000D55A3" w:rsidTr="23A59346" w14:paraId="35376C8F" w14:textId="77777777">
        <w:trPr>
          <w:jc w:val="center"/>
        </w:trPr>
        <w:tc>
          <w:tcPr>
            <w:tcW w:w="2380" w:type="pct"/>
            <w:hideMark/>
          </w:tcPr>
          <w:p w:rsidRPr="007E54DC" w:rsidR="000D55A3" w:rsidP="000D55A3" w:rsidRDefault="000D55A3" w14:paraId="4437AB1C" w14:textId="77777777">
            <w:pPr>
              <w:spacing w:before="0" w:after="0"/>
              <w:jc w:val="left"/>
              <w:rPr>
                <w:sz w:val="22"/>
                <w:szCs w:val="22"/>
              </w:rPr>
            </w:pPr>
            <w:r w:rsidRPr="007E54DC">
              <w:rPr>
                <w:b/>
                <w:bCs/>
                <w:sz w:val="22"/>
                <w:szCs w:val="22"/>
              </w:rPr>
              <w:t>KPI 7:</w:t>
            </w:r>
            <w:r w:rsidRPr="007E54DC">
              <w:rPr>
                <w:sz w:val="22"/>
                <w:szCs w:val="22"/>
              </w:rPr>
              <w:t xml:space="preserve"> Net change in greenhouse gas emissions </w:t>
            </w:r>
            <w:proofErr w:type="gramStart"/>
            <w:r w:rsidRPr="007E54DC">
              <w:rPr>
                <w:sz w:val="22"/>
                <w:szCs w:val="22"/>
              </w:rPr>
              <w:t>as a result of</w:t>
            </w:r>
            <w:proofErr w:type="gramEnd"/>
            <w:r w:rsidRPr="007E54DC">
              <w:rPr>
                <w:sz w:val="22"/>
                <w:szCs w:val="22"/>
              </w:rPr>
              <w:t xml:space="preserve"> BPF finance </w:t>
            </w:r>
          </w:p>
        </w:tc>
        <w:tc>
          <w:tcPr>
            <w:tcW w:w="2620" w:type="pct"/>
            <w:hideMark/>
          </w:tcPr>
          <w:p w:rsidRPr="007E54DC" w:rsidR="000D55A3" w:rsidP="000D55A3" w:rsidRDefault="000D55A3" w14:paraId="26AC25EB" w14:textId="77777777">
            <w:pPr>
              <w:spacing w:before="0" w:after="0"/>
              <w:jc w:val="left"/>
              <w:rPr>
                <w:sz w:val="22"/>
                <w:szCs w:val="22"/>
              </w:rPr>
            </w:pPr>
            <w:r w:rsidRPr="007E54DC">
              <w:rPr>
                <w:sz w:val="22"/>
                <w:szCs w:val="22"/>
              </w:rPr>
              <w:t>No comprehensive estimate to date for the overall programme. Economic appraisal indicates the GFCR will deliver significant contribution towards this KPI.  </w:t>
            </w:r>
          </w:p>
        </w:tc>
      </w:tr>
      <w:tr w:rsidRPr="007E54DC" w:rsidR="000D55A3" w:rsidTr="23A59346" w14:paraId="5F586C0E" w14:textId="77777777">
        <w:trPr>
          <w:trHeight w:val="1035"/>
          <w:jc w:val="center"/>
        </w:trPr>
        <w:tc>
          <w:tcPr>
            <w:tcW w:w="2380" w:type="pct"/>
            <w:shd w:val="clear" w:color="auto" w:fill="EFF6EA"/>
            <w:hideMark/>
          </w:tcPr>
          <w:p w:rsidRPr="007E54DC" w:rsidR="000D55A3" w:rsidP="000D55A3" w:rsidRDefault="000D55A3" w14:paraId="2A4C68AA" w14:textId="77777777">
            <w:pPr>
              <w:spacing w:before="0" w:after="0"/>
              <w:jc w:val="left"/>
              <w:rPr>
                <w:sz w:val="22"/>
                <w:szCs w:val="22"/>
              </w:rPr>
            </w:pPr>
            <w:r w:rsidRPr="007E54DC">
              <w:rPr>
                <w:b/>
                <w:bCs/>
                <w:sz w:val="22"/>
                <w:szCs w:val="22"/>
              </w:rPr>
              <w:t>KPI 8:</w:t>
            </w:r>
            <w:r w:rsidRPr="007E54DC">
              <w:rPr>
                <w:sz w:val="22"/>
                <w:szCs w:val="22"/>
              </w:rPr>
              <w:t xml:space="preserve"> Area of marine ecosystems protected, enhanced or under sustainable management practices </w:t>
            </w:r>
            <w:proofErr w:type="gramStart"/>
            <w:r w:rsidRPr="007E54DC">
              <w:rPr>
                <w:sz w:val="22"/>
                <w:szCs w:val="22"/>
              </w:rPr>
              <w:t>as a result of</w:t>
            </w:r>
            <w:proofErr w:type="gramEnd"/>
            <w:r w:rsidRPr="007E54DC">
              <w:rPr>
                <w:sz w:val="22"/>
                <w:szCs w:val="22"/>
              </w:rPr>
              <w:t xml:space="preserve"> BPF projects. </w:t>
            </w:r>
          </w:p>
        </w:tc>
        <w:tc>
          <w:tcPr>
            <w:tcW w:w="2620" w:type="pct"/>
            <w:shd w:val="clear" w:color="auto" w:fill="EFF6EA"/>
            <w:hideMark/>
          </w:tcPr>
          <w:p w:rsidRPr="007E54DC" w:rsidR="000D55A3" w:rsidP="000D55A3" w:rsidRDefault="000D55A3" w14:paraId="50581CDF" w14:textId="4A2F98AD">
            <w:pPr>
              <w:spacing w:before="0" w:after="0"/>
              <w:jc w:val="left"/>
              <w:rPr>
                <w:sz w:val="22"/>
                <w:szCs w:val="22"/>
              </w:rPr>
            </w:pPr>
            <w:r w:rsidRPr="007E54DC">
              <w:rPr>
                <w:sz w:val="22"/>
                <w:szCs w:val="22"/>
              </w:rPr>
              <w:t>191,000ha of coral reef target</w:t>
            </w:r>
            <w:r w:rsidRPr="007E54DC" w:rsidR="00E65B6F">
              <w:rPr>
                <w:sz w:val="22"/>
                <w:szCs w:val="22"/>
              </w:rPr>
              <w:t>ed</w:t>
            </w:r>
            <w:r w:rsidRPr="007E54DC">
              <w:rPr>
                <w:sz w:val="22"/>
                <w:szCs w:val="22"/>
              </w:rPr>
              <w:t xml:space="preserve"> by GFCR for the 7 programmes initiated so far once completed </w:t>
            </w:r>
            <w:r w:rsidRPr="007E54DC" w:rsidR="00E65B6F">
              <w:rPr>
                <w:sz w:val="22"/>
                <w:szCs w:val="22"/>
              </w:rPr>
              <w:t xml:space="preserve">(attributable to the UK) </w:t>
            </w:r>
          </w:p>
        </w:tc>
      </w:tr>
      <w:tr w:rsidRPr="007E54DC" w:rsidR="000D55A3" w:rsidTr="23A59346" w14:paraId="33ABB2E2" w14:textId="77777777">
        <w:trPr>
          <w:jc w:val="center"/>
        </w:trPr>
        <w:tc>
          <w:tcPr>
            <w:tcW w:w="2380" w:type="pct"/>
            <w:hideMark/>
          </w:tcPr>
          <w:p w:rsidRPr="007E54DC" w:rsidR="000D55A3" w:rsidP="000D55A3" w:rsidRDefault="000D55A3" w14:paraId="5E363524" w14:textId="77777777">
            <w:pPr>
              <w:spacing w:before="0" w:after="0"/>
              <w:jc w:val="left"/>
              <w:rPr>
                <w:sz w:val="22"/>
                <w:szCs w:val="22"/>
              </w:rPr>
            </w:pPr>
            <w:r w:rsidRPr="007E54DC">
              <w:rPr>
                <w:b/>
                <w:bCs/>
                <w:sz w:val="22"/>
                <w:szCs w:val="22"/>
              </w:rPr>
              <w:t>KPI 9:</w:t>
            </w:r>
            <w:r w:rsidRPr="007E54DC">
              <w:rPr>
                <w:sz w:val="22"/>
                <w:szCs w:val="22"/>
              </w:rPr>
              <w:t xml:space="preserve"> Changes in marine natural capital asset extent and condition </w:t>
            </w:r>
            <w:proofErr w:type="gramStart"/>
            <w:r w:rsidRPr="007E54DC">
              <w:rPr>
                <w:sz w:val="22"/>
                <w:szCs w:val="22"/>
              </w:rPr>
              <w:t>as a result of</w:t>
            </w:r>
            <w:proofErr w:type="gramEnd"/>
            <w:r w:rsidRPr="007E54DC">
              <w:rPr>
                <w:sz w:val="22"/>
                <w:szCs w:val="22"/>
              </w:rPr>
              <w:t xml:space="preserve"> BPF funding.   </w:t>
            </w:r>
          </w:p>
        </w:tc>
        <w:tc>
          <w:tcPr>
            <w:tcW w:w="2620" w:type="pct"/>
            <w:hideMark/>
          </w:tcPr>
          <w:p w:rsidRPr="007E54DC" w:rsidR="000D55A3" w:rsidP="000D55A3" w:rsidRDefault="000D55A3" w14:paraId="60A1A109" w14:textId="77777777">
            <w:pPr>
              <w:spacing w:before="0" w:after="0"/>
              <w:jc w:val="left"/>
              <w:rPr>
                <w:sz w:val="22"/>
                <w:szCs w:val="22"/>
              </w:rPr>
            </w:pPr>
            <w:r w:rsidRPr="007E54DC">
              <w:rPr>
                <w:sz w:val="22"/>
                <w:szCs w:val="22"/>
              </w:rPr>
              <w:t>No comprehensive estimate to date for the overall programme. Economic appraisal indicates the GFCR will deliver improvements against this KPI. </w:t>
            </w:r>
          </w:p>
        </w:tc>
      </w:tr>
    </w:tbl>
    <w:p w:rsidRPr="007E54DC" w:rsidR="00D15D16" w:rsidP="00D15D16" w:rsidRDefault="00D15D16" w14:paraId="5CFA4F0F" w14:textId="43E1BC94">
      <w:pPr>
        <w:pStyle w:val="Caption"/>
        <w:spacing w:after="240" w:line="276" w:lineRule="auto"/>
        <w:rPr>
          <w:szCs w:val="22"/>
        </w:rPr>
      </w:pPr>
      <w:bookmarkStart w:name="_Toc111126280" w:id="21"/>
      <w:bookmarkStart w:name="_Toc132104914" w:id="22"/>
      <w:r w:rsidRPr="007E54DC">
        <w:rPr>
          <w:szCs w:val="22"/>
        </w:rPr>
        <w:t xml:space="preserve">Table </w:t>
      </w:r>
      <w:r w:rsidRPr="007E54DC" w:rsidR="0015573E">
        <w:rPr>
          <w:szCs w:val="22"/>
        </w:rPr>
        <w:fldChar w:fldCharType="begin"/>
      </w:r>
      <w:r w:rsidRPr="007E54DC" w:rsidR="0015573E">
        <w:rPr>
          <w:szCs w:val="22"/>
        </w:rPr>
        <w:instrText xml:space="preserve"> SEQ Table \* ARABIC </w:instrText>
      </w:r>
      <w:r w:rsidRPr="007E54DC" w:rsidR="0015573E">
        <w:rPr>
          <w:szCs w:val="22"/>
        </w:rPr>
        <w:fldChar w:fldCharType="separate"/>
      </w:r>
      <w:r w:rsidR="00B9356F">
        <w:rPr>
          <w:noProof/>
          <w:szCs w:val="22"/>
        </w:rPr>
        <w:t>4</w:t>
      </w:r>
      <w:r w:rsidRPr="007E54DC" w:rsidR="0015573E">
        <w:rPr>
          <w:szCs w:val="22"/>
        </w:rPr>
        <w:fldChar w:fldCharType="end"/>
      </w:r>
      <w:r w:rsidRPr="007E54DC">
        <w:rPr>
          <w:szCs w:val="22"/>
        </w:rPr>
        <w:t xml:space="preserve"> - Alignment between delivery on GFCR targets and contribution towards BPF's KPIs</w:t>
      </w:r>
      <w:bookmarkEnd w:id="21"/>
      <w:bookmarkEnd w:id="22"/>
    </w:p>
    <w:p w:rsidRPr="007E54DC" w:rsidR="7693458D" w:rsidP="00D079B7" w:rsidRDefault="672C2D0B" w14:paraId="0B953AD5" w14:textId="311970EE" w14:noSpellErr="1">
      <w:pPr>
        <w:pStyle w:val="Heading3"/>
        <w:rPr/>
      </w:pPr>
      <w:bookmarkStart w:name="_Toc111401978" w:id="24"/>
      <w:bookmarkStart w:name="_Toc2122783416" w:id="742716595"/>
      <w:r w:rsidR="672C2D0B">
        <w:rPr/>
        <w:t xml:space="preserve">Performance – Year 1 </w:t>
      </w:r>
      <w:r w:rsidR="699B1456">
        <w:rPr/>
        <w:t>Annual Review</w:t>
      </w:r>
      <w:bookmarkEnd w:id="742716595"/>
    </w:p>
    <w:p w:rsidRPr="007E54DC" w:rsidR="00CF3D5C" w:rsidP="00CF3D5C" w:rsidRDefault="00CF3D5C" w14:paraId="40D92369" w14:textId="35045073">
      <w:pPr>
        <w:rPr>
          <w:rStyle w:val="normaltextrun"/>
          <w:rFonts w:cs="Arial"/>
          <w:color w:val="000000"/>
          <w:shd w:val="clear" w:color="auto" w:fill="FFFFFF"/>
        </w:rPr>
      </w:pPr>
      <w:r w:rsidRPr="007E54DC">
        <w:rPr>
          <w:rStyle w:val="normaltextrun"/>
          <w:rFonts w:cs="Arial"/>
          <w:color w:val="000000"/>
          <w:shd w:val="clear" w:color="auto" w:fill="FFFFFF"/>
        </w:rPr>
        <w:t xml:space="preserve">The annual review (Annex </w:t>
      </w:r>
      <w:r w:rsidRPr="007E54DC" w:rsidR="00BD392D">
        <w:rPr>
          <w:rStyle w:val="normaltextrun"/>
          <w:rFonts w:cs="Arial"/>
          <w:color w:val="000000"/>
          <w:shd w:val="clear" w:color="auto" w:fill="FFFFFF"/>
        </w:rPr>
        <w:t>D</w:t>
      </w:r>
      <w:r w:rsidRPr="007E54DC">
        <w:rPr>
          <w:rStyle w:val="normaltextrun"/>
          <w:rFonts w:cs="Arial"/>
          <w:color w:val="000000"/>
          <w:shd w:val="clear" w:color="auto" w:fill="FFFFFF"/>
        </w:rPr>
        <w:t>)</w:t>
      </w:r>
      <w:r w:rsidRPr="007E54DC" w:rsidR="001046C2">
        <w:rPr>
          <w:rStyle w:val="normaltextrun"/>
          <w:rFonts w:cs="Arial"/>
          <w:color w:val="000000"/>
          <w:shd w:val="clear" w:color="auto" w:fill="FFFFFF"/>
        </w:rPr>
        <w:t xml:space="preserve"> </w:t>
      </w:r>
      <w:r w:rsidRPr="007E54DC">
        <w:rPr>
          <w:rStyle w:val="normaltextrun"/>
          <w:rFonts w:cs="Arial"/>
          <w:color w:val="000000"/>
          <w:shd w:val="clear" w:color="auto" w:fill="FFFFFF"/>
        </w:rPr>
        <w:t>and evidence presented within shows that the GFCR has successfully scaled up its operations and pipeline, utilised funding effectively and minimised the risks of failed project delivery</w:t>
      </w:r>
      <w:r w:rsidRPr="007E54DC" w:rsidR="001046C2">
        <w:rPr>
          <w:rStyle w:val="normaltextrun"/>
          <w:rFonts w:cs="Arial"/>
          <w:color w:val="000000"/>
          <w:shd w:val="clear" w:color="auto" w:fill="FFFFFF"/>
        </w:rPr>
        <w:t>.</w:t>
      </w:r>
      <w:r w:rsidRPr="007E54DC">
        <w:rPr>
          <w:rStyle w:val="normaltextrun"/>
          <w:rFonts w:cs="Arial"/>
          <w:color w:val="000000"/>
          <w:shd w:val="clear" w:color="auto" w:fill="FFFFFF"/>
        </w:rPr>
        <w:t xml:space="preserve"> </w:t>
      </w:r>
      <w:r w:rsidRPr="007E54DC" w:rsidR="001046C2">
        <w:rPr>
          <w:rStyle w:val="normaltextrun"/>
          <w:rFonts w:cs="Arial"/>
          <w:color w:val="000000"/>
          <w:shd w:val="clear" w:color="auto" w:fill="FFFFFF"/>
        </w:rPr>
        <w:t>F</w:t>
      </w:r>
      <w:r w:rsidRPr="007E54DC">
        <w:rPr>
          <w:rStyle w:val="normaltextrun"/>
          <w:rFonts w:cs="Arial"/>
          <w:color w:val="000000"/>
          <w:shd w:val="clear" w:color="auto" w:fill="FFFFFF"/>
        </w:rPr>
        <w:t xml:space="preserve">or </w:t>
      </w:r>
      <w:r w:rsidRPr="007E54DC" w:rsidR="001046C2">
        <w:rPr>
          <w:rStyle w:val="normaltextrun"/>
          <w:rFonts w:cs="Arial"/>
          <w:color w:val="000000"/>
          <w:shd w:val="clear" w:color="auto" w:fill="FFFFFF"/>
        </w:rPr>
        <w:t xml:space="preserve">these </w:t>
      </w:r>
      <w:r w:rsidRPr="007E54DC">
        <w:rPr>
          <w:rStyle w:val="normaltextrun"/>
          <w:rFonts w:cs="Arial"/>
          <w:color w:val="000000"/>
          <w:shd w:val="clear" w:color="auto" w:fill="FFFFFF"/>
        </w:rPr>
        <w:t>reason</w:t>
      </w:r>
      <w:r w:rsidRPr="007E54DC" w:rsidR="001046C2">
        <w:rPr>
          <w:rStyle w:val="normaltextrun"/>
          <w:rFonts w:cs="Arial"/>
          <w:color w:val="000000"/>
          <w:shd w:val="clear" w:color="auto" w:fill="FFFFFF"/>
        </w:rPr>
        <w:t>s</w:t>
      </w:r>
      <w:r w:rsidRPr="007E54DC">
        <w:rPr>
          <w:rStyle w:val="normaltextrun"/>
          <w:rFonts w:cs="Arial"/>
          <w:color w:val="000000"/>
          <w:shd w:val="clear" w:color="auto" w:fill="FFFFFF"/>
        </w:rPr>
        <w:t xml:space="preserve"> the programme </w:t>
      </w:r>
      <w:r w:rsidRPr="007E54DC" w:rsidR="00FD4FB2">
        <w:rPr>
          <w:rStyle w:val="normaltextrun"/>
          <w:rFonts w:cs="Arial"/>
          <w:color w:val="000000"/>
          <w:shd w:val="clear" w:color="auto" w:fill="FFFFFF"/>
        </w:rPr>
        <w:t xml:space="preserve">has been </w:t>
      </w:r>
      <w:r w:rsidRPr="007E54DC">
        <w:rPr>
          <w:rStyle w:val="normaltextrun"/>
          <w:rFonts w:cs="Arial"/>
          <w:color w:val="000000"/>
          <w:shd w:val="clear" w:color="auto" w:fill="FFFFFF"/>
        </w:rPr>
        <w:t xml:space="preserve">scored </w:t>
      </w:r>
      <w:r w:rsidRPr="007E54DC" w:rsidR="00FD4FB2">
        <w:rPr>
          <w:rStyle w:val="normaltextrun"/>
          <w:rFonts w:cs="Arial"/>
          <w:color w:val="000000"/>
          <w:shd w:val="clear" w:color="auto" w:fill="FFFFFF"/>
        </w:rPr>
        <w:t xml:space="preserve">as an </w:t>
      </w:r>
      <w:r w:rsidRPr="007E54DC">
        <w:rPr>
          <w:rStyle w:val="normaltextrun"/>
          <w:rFonts w:cs="Arial"/>
          <w:color w:val="000000"/>
          <w:shd w:val="clear" w:color="auto" w:fill="FFFFFF"/>
        </w:rPr>
        <w:t>A</w:t>
      </w:r>
      <w:r w:rsidRPr="007E54DC" w:rsidR="00FD4FB2">
        <w:rPr>
          <w:rStyle w:val="normaltextrun"/>
          <w:rFonts w:cs="Arial"/>
          <w:color w:val="000000"/>
          <w:shd w:val="clear" w:color="auto" w:fill="FFFFFF"/>
        </w:rPr>
        <w:t>; having</w:t>
      </w:r>
      <w:r w:rsidRPr="007E54DC">
        <w:rPr>
          <w:rStyle w:val="normaltextrun"/>
          <w:rFonts w:cs="Arial"/>
          <w:color w:val="000000"/>
          <w:shd w:val="clear" w:color="auto" w:fill="FFFFFF"/>
        </w:rPr>
        <w:t xml:space="preserve"> </w:t>
      </w:r>
      <w:r w:rsidRPr="007E54DC">
        <w:rPr>
          <w:rStyle w:val="normaltextrun"/>
          <w:rFonts w:ascii="Calibri" w:hAnsi="Calibri" w:cs="Calibri"/>
          <w:i/>
          <w:iCs/>
          <w:color w:val="000000"/>
          <w:shd w:val="clear" w:color="auto" w:fill="FFFFFF"/>
        </w:rPr>
        <w:t>met expectations</w:t>
      </w:r>
      <w:r w:rsidRPr="007E54DC">
        <w:rPr>
          <w:rStyle w:val="normaltextrun"/>
          <w:rFonts w:ascii="Calibri" w:hAnsi="Calibri" w:cs="Calibri"/>
          <w:color w:val="000000"/>
          <w:shd w:val="clear" w:color="auto" w:fill="FFFFFF"/>
        </w:rPr>
        <w:t xml:space="preserve"> </w:t>
      </w:r>
      <w:r w:rsidRPr="007E54DC" w:rsidR="00FD4FB2">
        <w:rPr>
          <w:rStyle w:val="normaltextrun"/>
          <w:rFonts w:ascii="Calibri" w:hAnsi="Calibri" w:cs="Calibri"/>
          <w:color w:val="000000"/>
          <w:shd w:val="clear" w:color="auto" w:fill="FFFFFF"/>
        </w:rPr>
        <w:t xml:space="preserve">with </w:t>
      </w:r>
      <w:r w:rsidRPr="007E54DC">
        <w:rPr>
          <w:rStyle w:val="normaltextrun"/>
          <w:rFonts w:ascii="Calibri" w:hAnsi="Calibri" w:cs="Calibri"/>
          <w:color w:val="000000"/>
          <w:shd w:val="clear" w:color="auto" w:fill="FFFFFF"/>
        </w:rPr>
        <w:t>all but one output indicator</w:t>
      </w:r>
      <w:r w:rsidRPr="007E54DC" w:rsidR="00FD4FB2">
        <w:rPr>
          <w:rStyle w:val="normaltextrun"/>
          <w:rFonts w:ascii="Calibri" w:hAnsi="Calibri" w:cs="Calibri"/>
          <w:color w:val="000000"/>
          <w:shd w:val="clear" w:color="auto" w:fill="FFFFFF"/>
        </w:rPr>
        <w:t xml:space="preserve"> having</w:t>
      </w:r>
      <w:r w:rsidRPr="007E54DC">
        <w:rPr>
          <w:rStyle w:val="normaltextrun"/>
          <w:rFonts w:ascii="Calibri" w:hAnsi="Calibri" w:cs="Calibri"/>
          <w:color w:val="000000"/>
          <w:shd w:val="clear" w:color="auto" w:fill="FFFFFF"/>
        </w:rPr>
        <w:t xml:space="preserve"> either met or exceed</w:t>
      </w:r>
      <w:r w:rsidRPr="007E54DC" w:rsidR="00FD4FB2">
        <w:rPr>
          <w:rStyle w:val="normaltextrun"/>
          <w:rFonts w:ascii="Calibri" w:hAnsi="Calibri" w:cs="Calibri"/>
          <w:color w:val="000000"/>
          <w:shd w:val="clear" w:color="auto" w:fill="FFFFFF"/>
        </w:rPr>
        <w:t>ed</w:t>
      </w:r>
      <w:r w:rsidRPr="007E54DC">
        <w:rPr>
          <w:rStyle w:val="normaltextrun"/>
          <w:rFonts w:ascii="Calibri" w:hAnsi="Calibri" w:cs="Calibri"/>
          <w:color w:val="000000"/>
          <w:shd w:val="clear" w:color="auto" w:fill="FFFFFF"/>
        </w:rPr>
        <w:t xml:space="preserve"> targets.</w:t>
      </w:r>
    </w:p>
    <w:p w:rsidRPr="007E54DC" w:rsidR="00CF3D5C" w:rsidP="00896619" w:rsidRDefault="00CF3D5C" w14:paraId="0E42076C" w14:textId="41531C3D">
      <w:pPr>
        <w:rPr>
          <w:rFonts w:cs="Segoe UI"/>
        </w:rPr>
      </w:pPr>
      <w:r w:rsidRPr="007E54DC">
        <w:t>Year 1 predominantly focused on enabling actions for future delivery,</w:t>
      </w:r>
      <w:r w:rsidRPr="007E54DC" w:rsidR="00FD4FB2">
        <w:t xml:space="preserve"> both at the project level and at the fund level. These actions included</w:t>
      </w:r>
      <w:r w:rsidRPr="007E54DC">
        <w:t xml:space="preserve"> project scoping, building stakeholder </w:t>
      </w:r>
      <w:r w:rsidRPr="007E54DC" w:rsidR="002D597C">
        <w:t>relationships,</w:t>
      </w:r>
      <w:r w:rsidRPr="007E54DC">
        <w:t xml:space="preserve"> and approving new projects, all of which are in line with Defra’s expectations</w:t>
      </w:r>
      <w:r w:rsidRPr="007E54DC" w:rsidR="00FD4FB2">
        <w:t xml:space="preserve"> and </w:t>
      </w:r>
      <w:r w:rsidRPr="007E54DC">
        <w:rPr>
          <w:rStyle w:val="findhit"/>
          <w:rFonts w:cs="Segoe UI"/>
        </w:rPr>
        <w:t>BPF</w:t>
      </w:r>
      <w:r w:rsidRPr="007E54DC">
        <w:rPr>
          <w:rStyle w:val="normaltextrun"/>
          <w:rFonts w:cs="Segoe UI"/>
        </w:rPr>
        <w:t xml:space="preserve"> objectives.</w:t>
      </w:r>
    </w:p>
    <w:p w:rsidRPr="007E54DC" w:rsidR="00C23F0F" w:rsidP="00C23F0F" w:rsidRDefault="5FB5561C" w14:paraId="42BB579E" w14:textId="4A59EF2D">
      <w:pPr>
        <w:pStyle w:val="paragraph"/>
        <w:spacing w:before="0" w:beforeAutospacing="0" w:after="0" w:afterAutospacing="0"/>
        <w:jc w:val="both"/>
        <w:textAlignment w:val="baseline"/>
        <w:rPr>
          <w:rFonts w:ascii="Segoe UI" w:hAnsi="Segoe UI" w:cs="Segoe UI"/>
          <w:sz w:val="18"/>
          <w:szCs w:val="18"/>
        </w:rPr>
      </w:pPr>
      <w:r w:rsidRPr="007E54DC">
        <w:rPr>
          <w:rStyle w:val="normaltextrun"/>
          <w:rFonts w:ascii="Calibri" w:hAnsi="Calibri" w:cs="Calibri"/>
          <w:sz w:val="22"/>
          <w:szCs w:val="22"/>
        </w:rPr>
        <w:t xml:space="preserve">In 2021 and into 2022, financing from DEFRA </w:t>
      </w:r>
      <w:r w:rsidRPr="007E54DC" w:rsidR="150A3D08">
        <w:rPr>
          <w:rStyle w:val="normaltextrun"/>
          <w:rFonts w:ascii="Calibri" w:hAnsi="Calibri" w:cs="Calibri"/>
          <w:sz w:val="22"/>
          <w:szCs w:val="22"/>
        </w:rPr>
        <w:t xml:space="preserve">also </w:t>
      </w:r>
      <w:r w:rsidRPr="007E54DC">
        <w:rPr>
          <w:rStyle w:val="normaltextrun"/>
          <w:rFonts w:ascii="Calibri" w:hAnsi="Calibri" w:cs="Calibri"/>
          <w:sz w:val="22"/>
          <w:szCs w:val="22"/>
        </w:rPr>
        <w:t>supported the following programmes</w:t>
      </w:r>
      <w:r w:rsidRPr="007E54DC" w:rsidR="00C23F0F">
        <w:rPr>
          <w:rStyle w:val="FootnoteReference"/>
          <w:rFonts w:ascii="Calibri" w:hAnsi="Calibri" w:cs="Calibri"/>
          <w:sz w:val="22"/>
          <w:szCs w:val="22"/>
        </w:rPr>
        <w:footnoteReference w:id="16"/>
      </w:r>
      <w:r w:rsidRPr="007E54DC" w:rsidR="150A3D08">
        <w:rPr>
          <w:rStyle w:val="normaltextrun"/>
          <w:rFonts w:ascii="Calibri" w:hAnsi="Calibri" w:cs="Calibri"/>
          <w:sz w:val="22"/>
          <w:szCs w:val="22"/>
          <w:vertAlign w:val="superscript"/>
        </w:rPr>
        <w:t>,</w:t>
      </w:r>
      <w:r w:rsidRPr="007E54DC" w:rsidR="001929ED">
        <w:rPr>
          <w:rStyle w:val="FootnoteReference"/>
          <w:rFonts w:ascii="Calibri" w:hAnsi="Calibri" w:cs="Calibri"/>
          <w:sz w:val="22"/>
          <w:szCs w:val="22"/>
        </w:rPr>
        <w:footnoteReference w:id="17"/>
      </w:r>
      <w:r w:rsidRPr="007E54DC">
        <w:rPr>
          <w:rStyle w:val="normaltextrun"/>
          <w:rFonts w:ascii="Calibri" w:hAnsi="Calibri" w:cs="Calibri"/>
          <w:sz w:val="22"/>
          <w:szCs w:val="22"/>
        </w:rPr>
        <w:t>:</w:t>
      </w:r>
      <w:r w:rsidRPr="007E54DC">
        <w:rPr>
          <w:rStyle w:val="eop"/>
          <w:rFonts w:ascii="Calibri" w:hAnsi="Calibri" w:cs="Calibri" w:eastAsiaTheme="minorEastAsia"/>
          <w:sz w:val="22"/>
          <w:szCs w:val="22"/>
        </w:rPr>
        <w:t> </w:t>
      </w:r>
    </w:p>
    <w:p w:rsidRPr="007E54DC" w:rsidR="00C23F0F" w:rsidP="006628DE" w:rsidRDefault="00C23F0F" w14:paraId="281D2CBB" w14:textId="77777777">
      <w:pPr>
        <w:pStyle w:val="paragraph"/>
        <w:numPr>
          <w:ilvl w:val="0"/>
          <w:numId w:val="26"/>
        </w:numPr>
        <w:spacing w:before="0" w:beforeAutospacing="0" w:after="0" w:afterAutospacing="0" w:line="276" w:lineRule="auto"/>
        <w:jc w:val="both"/>
        <w:textAlignment w:val="baseline"/>
        <w:rPr>
          <w:rFonts w:ascii="Calibri" w:hAnsi="Calibri" w:cs="Calibri"/>
          <w:sz w:val="22"/>
          <w:szCs w:val="22"/>
        </w:rPr>
      </w:pPr>
      <w:r w:rsidRPr="007E54DC">
        <w:rPr>
          <w:rStyle w:val="normaltextrun"/>
          <w:rFonts w:ascii="Calibri" w:hAnsi="Calibri" w:cs="Calibri"/>
          <w:sz w:val="22"/>
          <w:szCs w:val="22"/>
        </w:rPr>
        <w:t>Fiji - Investing in Coral Reefs and the Blue Economy (Fiji) </w:t>
      </w:r>
      <w:r w:rsidRPr="007E54DC">
        <w:rPr>
          <w:rStyle w:val="eop"/>
          <w:rFonts w:ascii="Calibri" w:hAnsi="Calibri" w:cs="Calibri" w:eastAsiaTheme="minorEastAsia"/>
          <w:sz w:val="22"/>
          <w:szCs w:val="22"/>
        </w:rPr>
        <w:t> </w:t>
      </w:r>
    </w:p>
    <w:p w:rsidRPr="007E54DC" w:rsidR="00C23F0F" w:rsidP="006628DE" w:rsidRDefault="00C23F0F" w14:paraId="0249BDBB" w14:textId="77777777">
      <w:pPr>
        <w:pStyle w:val="paragraph"/>
        <w:numPr>
          <w:ilvl w:val="0"/>
          <w:numId w:val="26"/>
        </w:numPr>
        <w:spacing w:before="0" w:beforeAutospacing="0" w:after="0" w:afterAutospacing="0" w:line="276" w:lineRule="auto"/>
        <w:jc w:val="both"/>
        <w:textAlignment w:val="baseline"/>
        <w:rPr>
          <w:rFonts w:ascii="Calibri" w:hAnsi="Calibri" w:cs="Calibri"/>
          <w:sz w:val="22"/>
          <w:szCs w:val="22"/>
        </w:rPr>
      </w:pPr>
      <w:r w:rsidRPr="007E54DC">
        <w:rPr>
          <w:rStyle w:val="normaltextrun"/>
          <w:rFonts w:ascii="Calibri" w:hAnsi="Calibri" w:cs="Calibri"/>
          <w:sz w:val="22"/>
          <w:szCs w:val="22"/>
        </w:rPr>
        <w:t xml:space="preserve">Kenya-Tanzania - </w:t>
      </w:r>
      <w:proofErr w:type="spellStart"/>
      <w:r w:rsidRPr="007E54DC">
        <w:rPr>
          <w:rStyle w:val="normaltextrun"/>
          <w:rFonts w:ascii="Calibri" w:hAnsi="Calibri" w:cs="Calibri"/>
          <w:sz w:val="22"/>
          <w:szCs w:val="22"/>
        </w:rPr>
        <w:t>Miamba</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Yetu</w:t>
      </w:r>
      <w:proofErr w:type="spellEnd"/>
      <w:r w:rsidRPr="007E54DC">
        <w:rPr>
          <w:rStyle w:val="normaltextrun"/>
          <w:rFonts w:ascii="Calibri" w:hAnsi="Calibri" w:cs="Calibri"/>
          <w:sz w:val="22"/>
          <w:szCs w:val="22"/>
        </w:rPr>
        <w:t>: Sustainable Reef Investments (Kenya-Tanzania)</w:t>
      </w:r>
      <w:r w:rsidRPr="007E54DC">
        <w:rPr>
          <w:rStyle w:val="eop"/>
          <w:rFonts w:ascii="Calibri" w:hAnsi="Calibri" w:cs="Calibri" w:eastAsiaTheme="minorEastAsia"/>
          <w:sz w:val="22"/>
          <w:szCs w:val="22"/>
        </w:rPr>
        <w:t> </w:t>
      </w:r>
    </w:p>
    <w:p w:rsidRPr="007E54DC" w:rsidR="00C23F0F" w:rsidP="006628DE" w:rsidRDefault="00C23F0F" w14:paraId="62006076" w14:textId="77777777">
      <w:pPr>
        <w:pStyle w:val="paragraph"/>
        <w:numPr>
          <w:ilvl w:val="0"/>
          <w:numId w:val="26"/>
        </w:numPr>
        <w:spacing w:before="0" w:beforeAutospacing="0" w:after="0" w:afterAutospacing="0" w:line="276" w:lineRule="auto"/>
        <w:jc w:val="both"/>
        <w:textAlignment w:val="baseline"/>
        <w:rPr>
          <w:rFonts w:ascii="Calibri" w:hAnsi="Calibri" w:cs="Calibri"/>
          <w:sz w:val="22"/>
          <w:szCs w:val="22"/>
        </w:rPr>
      </w:pPr>
      <w:r w:rsidRPr="007E54DC">
        <w:rPr>
          <w:rStyle w:val="normaltextrun"/>
          <w:rFonts w:ascii="Calibri" w:hAnsi="Calibri" w:cs="Calibri"/>
          <w:sz w:val="22"/>
          <w:szCs w:val="22"/>
        </w:rPr>
        <w:t xml:space="preserve">Papua New Guinea - </w:t>
      </w:r>
      <w:proofErr w:type="spellStart"/>
      <w:r w:rsidRPr="007E54DC">
        <w:rPr>
          <w:rStyle w:val="normaltextrun"/>
          <w:rFonts w:ascii="Calibri" w:hAnsi="Calibri" w:cs="Calibri"/>
          <w:sz w:val="22"/>
          <w:szCs w:val="22"/>
        </w:rPr>
        <w:t>Gutpla</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solwara</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gutpla</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bisnis</w:t>
      </w:r>
      <w:proofErr w:type="spellEnd"/>
      <w:r w:rsidRPr="007E54DC">
        <w:rPr>
          <w:rStyle w:val="normaltextrun"/>
          <w:rFonts w:ascii="Calibri" w:hAnsi="Calibri" w:cs="Calibri"/>
          <w:sz w:val="22"/>
          <w:szCs w:val="22"/>
        </w:rPr>
        <w:t xml:space="preserve"> (‘Good oceans, good business’)</w:t>
      </w:r>
      <w:r w:rsidRPr="007E54DC">
        <w:rPr>
          <w:rStyle w:val="eop"/>
          <w:rFonts w:ascii="Calibri" w:hAnsi="Calibri" w:cs="Calibri" w:eastAsiaTheme="minorEastAsia"/>
          <w:sz w:val="22"/>
          <w:szCs w:val="22"/>
        </w:rPr>
        <w:t> </w:t>
      </w:r>
    </w:p>
    <w:p w:rsidRPr="007E54DC" w:rsidR="00C23F0F" w:rsidP="006628DE" w:rsidRDefault="00C23F0F" w14:paraId="43816B2E" w14:textId="77777777">
      <w:pPr>
        <w:pStyle w:val="paragraph"/>
        <w:numPr>
          <w:ilvl w:val="0"/>
          <w:numId w:val="26"/>
        </w:numPr>
        <w:spacing w:before="0" w:beforeAutospacing="0" w:after="0" w:afterAutospacing="0" w:line="276" w:lineRule="auto"/>
        <w:jc w:val="both"/>
        <w:textAlignment w:val="baseline"/>
        <w:rPr>
          <w:rFonts w:ascii="Calibri" w:hAnsi="Calibri" w:cs="Calibri"/>
          <w:sz w:val="22"/>
          <w:szCs w:val="22"/>
        </w:rPr>
      </w:pPr>
      <w:r w:rsidRPr="007E54DC">
        <w:rPr>
          <w:rStyle w:val="normaltextrun"/>
          <w:rFonts w:ascii="Calibri" w:hAnsi="Calibri" w:cs="Calibri"/>
          <w:sz w:val="22"/>
          <w:szCs w:val="22"/>
        </w:rPr>
        <w:t xml:space="preserve">Philippines – </w:t>
      </w:r>
      <w:proofErr w:type="spellStart"/>
      <w:r w:rsidRPr="007E54DC">
        <w:rPr>
          <w:rStyle w:val="normaltextrun"/>
          <w:rFonts w:ascii="Calibri" w:hAnsi="Calibri" w:cs="Calibri"/>
          <w:sz w:val="22"/>
          <w:szCs w:val="22"/>
        </w:rPr>
        <w:t>Mamuhunan</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sa</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mga</w:t>
      </w:r>
      <w:proofErr w:type="spellEnd"/>
      <w:r w:rsidRPr="007E54DC">
        <w:rPr>
          <w:rStyle w:val="normaltextrun"/>
          <w:rFonts w:ascii="Calibri" w:hAnsi="Calibri" w:cs="Calibri"/>
          <w:sz w:val="22"/>
          <w:szCs w:val="22"/>
        </w:rPr>
        <w:t xml:space="preserve"> MPAs (‘Responsible investment in MPAs’)</w:t>
      </w:r>
      <w:r w:rsidRPr="007E54DC">
        <w:rPr>
          <w:rStyle w:val="eop"/>
          <w:rFonts w:ascii="Calibri" w:hAnsi="Calibri" w:cs="Calibri" w:eastAsiaTheme="minorEastAsia"/>
          <w:sz w:val="22"/>
          <w:szCs w:val="22"/>
        </w:rPr>
        <w:t> </w:t>
      </w:r>
    </w:p>
    <w:p w:rsidRPr="007E54DC" w:rsidR="00C23F0F" w:rsidP="006628DE" w:rsidRDefault="00C23F0F" w14:paraId="56F9AC29" w14:textId="77777777">
      <w:pPr>
        <w:pStyle w:val="paragraph"/>
        <w:numPr>
          <w:ilvl w:val="0"/>
          <w:numId w:val="26"/>
        </w:numPr>
        <w:spacing w:before="0" w:beforeAutospacing="0" w:after="0" w:afterAutospacing="0" w:line="276" w:lineRule="auto"/>
        <w:jc w:val="both"/>
        <w:textAlignment w:val="baseline"/>
        <w:rPr>
          <w:rFonts w:ascii="Calibri" w:hAnsi="Calibri" w:cs="Calibri"/>
          <w:sz w:val="22"/>
          <w:szCs w:val="22"/>
        </w:rPr>
      </w:pPr>
      <w:r w:rsidRPr="007E54DC">
        <w:rPr>
          <w:rStyle w:val="normaltextrun"/>
          <w:rFonts w:ascii="Calibri" w:hAnsi="Calibri" w:cs="Calibri"/>
          <w:sz w:val="22"/>
          <w:szCs w:val="22"/>
        </w:rPr>
        <w:t xml:space="preserve">Indonesia – </w:t>
      </w:r>
      <w:proofErr w:type="spellStart"/>
      <w:r w:rsidRPr="007E54DC">
        <w:rPr>
          <w:rStyle w:val="normaltextrun"/>
          <w:rFonts w:ascii="Calibri" w:hAnsi="Calibri" w:cs="Calibri"/>
          <w:sz w:val="22"/>
          <w:szCs w:val="22"/>
        </w:rPr>
        <w:t>Terumbu</w:t>
      </w:r>
      <w:proofErr w:type="spellEnd"/>
      <w:r w:rsidRPr="007E54DC">
        <w:rPr>
          <w:rStyle w:val="normaltextrun"/>
          <w:rFonts w:ascii="Calibri" w:hAnsi="Calibri" w:cs="Calibri"/>
          <w:sz w:val="22"/>
          <w:szCs w:val="22"/>
        </w:rPr>
        <w:t xml:space="preserve"> Karang </w:t>
      </w:r>
      <w:proofErr w:type="spellStart"/>
      <w:r w:rsidRPr="007E54DC">
        <w:rPr>
          <w:rStyle w:val="normaltextrun"/>
          <w:rFonts w:ascii="Calibri" w:hAnsi="Calibri" w:cs="Calibri"/>
          <w:sz w:val="22"/>
          <w:szCs w:val="22"/>
        </w:rPr>
        <w:t>Sehat</w:t>
      </w:r>
      <w:proofErr w:type="spellEnd"/>
      <w:r w:rsidRPr="007E54DC">
        <w:rPr>
          <w:rStyle w:val="normaltextrun"/>
          <w:rFonts w:ascii="Calibri" w:hAnsi="Calibri" w:cs="Calibri"/>
          <w:sz w:val="22"/>
          <w:szCs w:val="22"/>
        </w:rPr>
        <w:t xml:space="preserve"> Indonesia</w:t>
      </w:r>
      <w:r w:rsidRPr="007E54DC">
        <w:rPr>
          <w:rStyle w:val="eop"/>
          <w:rFonts w:ascii="Calibri" w:hAnsi="Calibri" w:cs="Calibri" w:eastAsiaTheme="minorEastAsia"/>
          <w:sz w:val="22"/>
          <w:szCs w:val="22"/>
        </w:rPr>
        <w:t> </w:t>
      </w:r>
    </w:p>
    <w:p w:rsidRPr="007E54DC" w:rsidR="00C23F0F" w:rsidP="006628DE" w:rsidRDefault="00C23F0F" w14:paraId="7653A254" w14:textId="3DCA8699">
      <w:pPr>
        <w:pStyle w:val="paragraph"/>
        <w:numPr>
          <w:ilvl w:val="0"/>
          <w:numId w:val="26"/>
        </w:numPr>
        <w:spacing w:before="0" w:beforeAutospacing="0" w:after="240" w:afterAutospacing="0" w:line="276" w:lineRule="auto"/>
        <w:jc w:val="both"/>
        <w:textAlignment w:val="baseline"/>
        <w:rPr>
          <w:rStyle w:val="eop"/>
          <w:rFonts w:ascii="Calibri" w:hAnsi="Calibri" w:cs="Calibri"/>
          <w:sz w:val="22"/>
          <w:szCs w:val="22"/>
        </w:rPr>
      </w:pPr>
      <w:r w:rsidRPr="007E54DC">
        <w:rPr>
          <w:rStyle w:val="normaltextrun"/>
          <w:rFonts w:ascii="Calibri" w:hAnsi="Calibri" w:cs="Calibri"/>
          <w:sz w:val="22"/>
          <w:szCs w:val="22"/>
        </w:rPr>
        <w:t xml:space="preserve">Mesoamerican Reef - </w:t>
      </w:r>
      <w:proofErr w:type="spellStart"/>
      <w:r w:rsidRPr="007E54DC">
        <w:rPr>
          <w:rStyle w:val="normaltextrun"/>
          <w:rFonts w:ascii="Calibri" w:hAnsi="Calibri" w:cs="Calibri"/>
          <w:sz w:val="22"/>
          <w:szCs w:val="22"/>
        </w:rPr>
        <w:t>MAR+Invest</w:t>
      </w:r>
      <w:proofErr w:type="spellEnd"/>
      <w:r w:rsidRPr="007E54DC">
        <w:rPr>
          <w:rStyle w:val="eop"/>
          <w:rFonts w:ascii="Calibri" w:hAnsi="Calibri" w:cs="Calibri" w:eastAsiaTheme="minorEastAsia"/>
          <w:sz w:val="22"/>
          <w:szCs w:val="22"/>
        </w:rPr>
        <w:t> </w:t>
      </w:r>
    </w:p>
    <w:p w:rsidRPr="007E54DC" w:rsidR="001929ED" w:rsidP="001929ED" w:rsidRDefault="00C23F0F" w14:paraId="5D70B8BE" w14:textId="3F0A1AEA">
      <w:pPr>
        <w:rPr>
          <w:rStyle w:val="eop"/>
          <w:rFonts w:ascii="Calibri" w:hAnsi="Calibri" w:cs="Calibri" w:eastAsiaTheme="minorEastAsia"/>
        </w:rPr>
      </w:pPr>
      <w:r w:rsidRPr="007E54DC">
        <w:rPr>
          <w:rStyle w:val="normaltextrun"/>
          <w:rFonts w:ascii="Calibri" w:hAnsi="Calibri" w:cs="Calibri"/>
        </w:rPr>
        <w:t xml:space="preserve">Specific </w:t>
      </w:r>
      <w:r w:rsidRPr="007E54DC" w:rsidR="00CF3D5C">
        <w:rPr>
          <w:rStyle w:val="normaltextrun"/>
          <w:rFonts w:ascii="Calibri" w:hAnsi="Calibri" w:cs="Calibri"/>
        </w:rPr>
        <w:t xml:space="preserve">interventions </w:t>
      </w:r>
      <w:r w:rsidRPr="007E54DC">
        <w:rPr>
          <w:rStyle w:val="normaltextrun"/>
          <w:rFonts w:ascii="Calibri" w:hAnsi="Calibri" w:cs="Calibri"/>
        </w:rPr>
        <w:t xml:space="preserve">supported within these programmes </w:t>
      </w:r>
      <w:r w:rsidRPr="007E54DC" w:rsidR="002D597C">
        <w:rPr>
          <w:rStyle w:val="normaltextrun"/>
          <w:rFonts w:ascii="Calibri" w:hAnsi="Calibri" w:cs="Calibri"/>
        </w:rPr>
        <w:t>include</w:t>
      </w:r>
      <w:r w:rsidRPr="007E54DC">
        <w:rPr>
          <w:rStyle w:val="normaltextrun"/>
          <w:rFonts w:ascii="Calibri" w:hAnsi="Calibri" w:cs="Calibri"/>
        </w:rPr>
        <w:t xml:space="preserve"> more than eight to develop or strengthen capacity and sustainable financing for entities managing marine protected areas; more than eight interventions in aquaculture and waste management</w:t>
      </w:r>
      <w:r w:rsidRPr="007E54DC" w:rsidR="001929ED">
        <w:rPr>
          <w:rStyle w:val="normaltextrun"/>
          <w:rFonts w:ascii="Calibri" w:hAnsi="Calibri" w:cs="Calibri"/>
        </w:rPr>
        <w:t>;</w:t>
      </w:r>
      <w:r w:rsidRPr="007E54DC">
        <w:rPr>
          <w:rStyle w:val="normaltextrun"/>
          <w:rFonts w:ascii="Calibri" w:hAnsi="Calibri" w:cs="Calibri"/>
        </w:rPr>
        <w:t xml:space="preserve"> </w:t>
      </w:r>
      <w:r w:rsidRPr="007E54DC" w:rsidR="001929ED">
        <w:rPr>
          <w:rStyle w:val="normaltextrun"/>
          <w:rFonts w:ascii="Calibri" w:hAnsi="Calibri" w:cs="Calibri"/>
        </w:rPr>
        <w:t xml:space="preserve">several </w:t>
      </w:r>
      <w:r w:rsidRPr="007E54DC">
        <w:rPr>
          <w:rStyle w:val="normaltextrun"/>
          <w:rFonts w:ascii="Calibri" w:hAnsi="Calibri" w:cs="Calibri"/>
        </w:rPr>
        <w:t>blue carbon and reef insurance initiatives; and seven incubators to develop reef-positive businesses throughout the programme lifetimes and beyond. </w:t>
      </w:r>
      <w:r w:rsidRPr="007E54DC">
        <w:rPr>
          <w:rStyle w:val="eop"/>
          <w:rFonts w:ascii="Calibri" w:hAnsi="Calibri" w:cs="Calibri" w:eastAsiaTheme="minorEastAsia"/>
        </w:rPr>
        <w:t> </w:t>
      </w:r>
    </w:p>
    <w:p w:rsidRPr="007E54DC" w:rsidR="00CF3D5C" w:rsidP="00CF3D5C" w:rsidRDefault="00CF3D5C" w14:paraId="3FCB2764" w14:textId="77777777">
      <w:r w:rsidRPr="007E54DC">
        <w:t xml:space="preserve">The only project that has completed a full year of implementation in the reporting period is in Fiji. The early phase has progressed well with key developments on track against targets so far including: </w:t>
      </w:r>
    </w:p>
    <w:p w:rsidRPr="007E54DC" w:rsidR="00CF3D5C" w:rsidP="006628DE" w:rsidRDefault="00CF3D5C" w14:paraId="6FB30F1A" w14:textId="77777777">
      <w:pPr>
        <w:pStyle w:val="ListParagraph"/>
        <w:numPr>
          <w:ilvl w:val="0"/>
          <w:numId w:val="25"/>
        </w:numPr>
      </w:pPr>
      <w:r w:rsidRPr="007E54DC">
        <w:t xml:space="preserve">A </w:t>
      </w:r>
      <w:r w:rsidRPr="007E54DC">
        <w:rPr>
          <w:b/>
          <w:bCs/>
        </w:rPr>
        <w:t>Locally Managed Marine Area (LMMA) Blended Finance Facility</w:t>
      </w:r>
      <w:r w:rsidRPr="007E54DC">
        <w:t xml:space="preserve"> which will serve as the foundation for generating revenue for effective management of Fiji’s LMMA network. Three new LMMA sites have also undergone feasibility studies. </w:t>
      </w:r>
    </w:p>
    <w:p w:rsidRPr="007E54DC" w:rsidR="00CF3D5C" w:rsidP="006628DE" w:rsidRDefault="00CF3D5C" w14:paraId="4357483D" w14:textId="77777777">
      <w:pPr>
        <w:pStyle w:val="ListParagraph"/>
        <w:numPr>
          <w:ilvl w:val="0"/>
          <w:numId w:val="25"/>
        </w:numPr>
      </w:pPr>
      <w:r w:rsidRPr="007E54DC">
        <w:t xml:space="preserve">Site selection for the </w:t>
      </w:r>
      <w:r w:rsidRPr="007E54DC">
        <w:rPr>
          <w:b/>
          <w:bCs/>
        </w:rPr>
        <w:t>new Western Sanitary Landfill</w:t>
      </w:r>
      <w:r w:rsidRPr="007E54DC">
        <w:t xml:space="preserve"> has been identified and an environmental impact assessment (EIA) conducted. Concepts for the collection and transport of waste, recycling and power generation have all been developed, with the intervention expected to be ready for investment by Q2 2023.</w:t>
      </w:r>
    </w:p>
    <w:p w:rsidRPr="007E54DC" w:rsidR="00CF3D5C" w:rsidP="006628DE" w:rsidRDefault="00CF3D5C" w14:paraId="067B264D" w14:textId="77777777">
      <w:pPr>
        <w:pStyle w:val="ListParagraph"/>
        <w:numPr>
          <w:ilvl w:val="0"/>
          <w:numId w:val="25"/>
        </w:numPr>
        <w:spacing w:after="240"/>
        <w:ind w:left="714" w:hanging="357"/>
      </w:pPr>
      <w:r w:rsidRPr="007E54DC">
        <w:t xml:space="preserve">A business plan and EIA has been completed for the </w:t>
      </w:r>
      <w:r w:rsidRPr="007E54DC">
        <w:rPr>
          <w:b/>
          <w:bCs/>
        </w:rPr>
        <w:t>Fertile Factory intervention</w:t>
      </w:r>
      <w:r w:rsidRPr="007E54DC">
        <w:t xml:space="preserve">, conducting local and government engagement to assess the demand for the fertiliser products. Planting trials have started to test and demonstrate the yield of the product, with the intervention expected to be ready for investment in the second half of 2023. </w:t>
      </w:r>
    </w:p>
    <w:p w:rsidRPr="007E54DC" w:rsidR="00CF3D5C" w:rsidP="001929ED" w:rsidRDefault="00CF3D5C" w14:paraId="360426E3" w14:textId="3A86FFD6">
      <w:pPr>
        <w:rPr>
          <w:rStyle w:val="eop"/>
        </w:rPr>
      </w:pPr>
      <w:r w:rsidRPr="007E54DC">
        <w:t xml:space="preserve">In 2021 the GFCR allocated or disbursed all £9m of BPF finance to its delivery partners. As described previously, progress has been in the form of ten preparatory grants approved and seven proposals entering early implementation stages. For these seven proposals GFCR estimate their grant investment will leverage significant investment capital with a ratio of 1:4. </w:t>
      </w:r>
    </w:p>
    <w:p w:rsidRPr="007E54DC" w:rsidR="2D0F3DB0" w:rsidP="7412537F" w:rsidRDefault="2D0F3DB0" w14:paraId="5F279087" w14:textId="399D6137">
      <w:r w:rsidRPr="007E54DC">
        <w:rPr>
          <w:rFonts w:ascii="Calibri" w:hAnsi="Calibri" w:eastAsia="Calibri" w:cs="Calibri"/>
        </w:rPr>
        <w:t>As is standard for Blue Planet Fund appraisals where we have limited evidence on mobilised private finance, leveraged finance was not included in the cost benefit analysis (CBA) calculations, so changes to these ratios will not impact the central benefit cost ratios (BCR) or net present values (NPV) values.</w:t>
      </w:r>
    </w:p>
    <w:p w:rsidRPr="007E54DC" w:rsidR="001E5A1B" w:rsidP="007C70D2" w:rsidRDefault="00C23F0F" w14:paraId="646C6800" w14:textId="2F8568FA">
      <w:pPr>
        <w:spacing w:after="0"/>
        <w:rPr>
          <w:rStyle w:val="normaltextrun"/>
          <w:rFonts w:ascii="Calibri" w:hAnsi="Calibri" w:cs="Calibri"/>
        </w:rPr>
      </w:pPr>
      <w:r w:rsidRPr="007E54DC">
        <w:rPr>
          <w:rStyle w:val="normaltextrun"/>
          <w:rFonts w:ascii="Calibri" w:hAnsi="Calibri" w:cs="Calibri"/>
        </w:rPr>
        <w:t>Further,</w:t>
      </w:r>
      <w:r w:rsidRPr="007E54DC" w:rsidR="00FD4FB2">
        <w:rPr>
          <w:rStyle w:val="normaltextrun"/>
          <w:rFonts w:ascii="Calibri" w:hAnsi="Calibri" w:cs="Calibri"/>
        </w:rPr>
        <w:t xml:space="preserve"> at the fund level,</w:t>
      </w:r>
      <w:r w:rsidRPr="007E54DC">
        <w:rPr>
          <w:rStyle w:val="normaltextrun"/>
          <w:rFonts w:ascii="Calibri" w:hAnsi="Calibri" w:cs="Calibri"/>
        </w:rPr>
        <w:t xml:space="preserve"> </w:t>
      </w:r>
      <w:r w:rsidRPr="007E54DC" w:rsidR="00DE1896">
        <w:rPr>
          <w:rStyle w:val="normaltextrun"/>
          <w:rFonts w:ascii="Calibri" w:hAnsi="Calibri" w:cs="Calibri"/>
        </w:rPr>
        <w:t xml:space="preserve">in year 1 </w:t>
      </w:r>
      <w:r w:rsidRPr="007E54DC">
        <w:rPr>
          <w:rStyle w:val="normaltextrun"/>
          <w:rFonts w:ascii="Calibri" w:hAnsi="Calibri" w:cs="Calibri"/>
        </w:rPr>
        <w:t>D</w:t>
      </w:r>
      <w:r w:rsidRPr="007E54DC" w:rsidR="00DE1896">
        <w:rPr>
          <w:rStyle w:val="normaltextrun"/>
          <w:rFonts w:ascii="Calibri" w:hAnsi="Calibri" w:cs="Calibri"/>
        </w:rPr>
        <w:t>efra</w:t>
      </w:r>
      <w:r w:rsidRPr="007E54DC">
        <w:rPr>
          <w:rStyle w:val="normaltextrun"/>
          <w:rFonts w:ascii="Calibri" w:hAnsi="Calibri" w:cs="Calibri"/>
        </w:rPr>
        <w:t xml:space="preserve"> financ</w:t>
      </w:r>
      <w:r w:rsidRPr="007E54DC" w:rsidR="001E5A1B">
        <w:rPr>
          <w:rStyle w:val="normaltextrun"/>
          <w:rFonts w:ascii="Calibri" w:hAnsi="Calibri" w:cs="Calibri"/>
        </w:rPr>
        <w:t>e</w:t>
      </w:r>
      <w:r w:rsidRPr="007E54DC">
        <w:rPr>
          <w:rStyle w:val="normaltextrun"/>
          <w:rFonts w:ascii="Calibri" w:hAnsi="Calibri" w:cs="Calibri"/>
        </w:rPr>
        <w:t xml:space="preserve"> </w:t>
      </w:r>
      <w:r w:rsidRPr="007E54DC" w:rsidR="001E5A1B">
        <w:rPr>
          <w:rStyle w:val="normaltextrun"/>
          <w:rFonts w:ascii="Calibri" w:hAnsi="Calibri" w:cs="Calibri"/>
        </w:rPr>
        <w:t>and governance</w:t>
      </w:r>
      <w:r w:rsidRPr="007E54DC" w:rsidR="00DE1896">
        <w:rPr>
          <w:rStyle w:val="normaltextrun"/>
          <w:rFonts w:ascii="Calibri" w:hAnsi="Calibri" w:cs="Calibri"/>
        </w:rPr>
        <w:t xml:space="preserve"> has</w:t>
      </w:r>
      <w:r w:rsidRPr="007E54DC" w:rsidR="001E5A1B">
        <w:rPr>
          <w:rStyle w:val="normaltextrun"/>
          <w:rFonts w:ascii="Calibri" w:hAnsi="Calibri" w:cs="Calibri"/>
        </w:rPr>
        <w:t xml:space="preserve"> </w:t>
      </w:r>
      <w:r w:rsidRPr="007E54DC">
        <w:rPr>
          <w:rStyle w:val="normaltextrun"/>
          <w:rFonts w:ascii="Calibri" w:hAnsi="Calibri" w:cs="Calibri"/>
        </w:rPr>
        <w:t>supported</w:t>
      </w:r>
      <w:r w:rsidRPr="007E54DC" w:rsidR="001E5A1B">
        <w:rPr>
          <w:rStyle w:val="normaltextrun"/>
          <w:rFonts w:ascii="Calibri" w:hAnsi="Calibri" w:cs="Calibri"/>
        </w:rPr>
        <w:t>:</w:t>
      </w:r>
    </w:p>
    <w:p w:rsidRPr="007E54DC" w:rsidR="001E5A1B" w:rsidP="006628DE" w:rsidRDefault="001E5A1B" w14:paraId="2DDEB027" w14:textId="3531E3E3">
      <w:pPr>
        <w:pStyle w:val="ListParagraph"/>
        <w:numPr>
          <w:ilvl w:val="0"/>
          <w:numId w:val="27"/>
        </w:numPr>
        <w:spacing w:after="240"/>
        <w:textAlignment w:val="auto"/>
        <w:rPr>
          <w:rFonts w:cstheme="minorBidi"/>
        </w:rPr>
      </w:pPr>
      <w:r w:rsidRPr="007E54DC">
        <w:rPr>
          <w:rFonts w:cstheme="minorBidi"/>
        </w:rPr>
        <w:t>Approval of the GFCR Investment Plan which is now informing the site selection and prioritisation process and identifying key business models and partners.</w:t>
      </w:r>
    </w:p>
    <w:p w:rsidRPr="007E54DC" w:rsidR="001E5A1B" w:rsidP="006628DE" w:rsidRDefault="001E5A1B" w14:paraId="53188E13" w14:textId="6DD11407">
      <w:pPr>
        <w:pStyle w:val="ListParagraph"/>
        <w:numPr>
          <w:ilvl w:val="0"/>
          <w:numId w:val="27"/>
        </w:numPr>
        <w:spacing w:after="240"/>
        <w:textAlignment w:val="auto"/>
        <w:rPr>
          <w:rFonts w:cstheme="minorBidi"/>
        </w:rPr>
      </w:pPr>
      <w:r w:rsidRPr="007E54DC">
        <w:rPr>
          <w:rFonts w:cstheme="minorBidi"/>
        </w:rPr>
        <w:t>Refining of impact targets through baseline and feasibility assessments conducted in the initial stage of programme implementation to define aggregate Fund level targets.</w:t>
      </w:r>
    </w:p>
    <w:p w:rsidRPr="007E54DC" w:rsidR="001E5A1B" w:rsidP="006628DE" w:rsidRDefault="001E5A1B" w14:paraId="700F5ACC" w14:textId="01123312">
      <w:pPr>
        <w:pStyle w:val="ListParagraph"/>
        <w:numPr>
          <w:ilvl w:val="0"/>
          <w:numId w:val="27"/>
        </w:numPr>
        <w:spacing w:after="240"/>
        <w:textAlignment w:val="auto"/>
        <w:rPr>
          <w:rFonts w:cstheme="minorHAnsi"/>
        </w:rPr>
      </w:pPr>
      <w:r w:rsidRPr="007E54DC">
        <w:rPr>
          <w:rFonts w:cstheme="minorHAnsi"/>
        </w:rPr>
        <w:t>Approval of new institutional partnerships including with the International Union for Conservation of Nature (IUCN) and Ocean Risk and Resilience Action Alliance (ORRAA) to strengthen collaboration between complementary organisations with initiatives in marine conservation.</w:t>
      </w:r>
    </w:p>
    <w:p w:rsidRPr="007E54DC" w:rsidR="001E5A1B" w:rsidP="006628DE" w:rsidRDefault="001E5A1B" w14:paraId="181B3388" w14:textId="5DBA73B3">
      <w:pPr>
        <w:pStyle w:val="ListParagraph"/>
        <w:numPr>
          <w:ilvl w:val="0"/>
          <w:numId w:val="27"/>
        </w:numPr>
        <w:spacing w:after="240"/>
        <w:textAlignment w:val="auto"/>
        <w:rPr>
          <w:rFonts w:cstheme="minorHAnsi"/>
        </w:rPr>
      </w:pPr>
      <w:r w:rsidRPr="007E54DC">
        <w:rPr>
          <w:rFonts w:cstheme="minorHAnsi"/>
        </w:rPr>
        <w:t>Development and approval of a new Advisory Board Terms of Reference (TOR) to provide strategic guidance to the GFCR Grant and Investment Fund.</w:t>
      </w:r>
    </w:p>
    <w:p w:rsidRPr="007E54DC" w:rsidR="001E5A1B" w:rsidP="006628DE" w:rsidRDefault="001E5A1B" w14:paraId="66949FC7" w14:textId="54F57F41">
      <w:pPr>
        <w:pStyle w:val="ListParagraph"/>
        <w:numPr>
          <w:ilvl w:val="0"/>
          <w:numId w:val="27"/>
        </w:numPr>
        <w:spacing w:after="240"/>
        <w:textAlignment w:val="auto"/>
        <w:rPr>
          <w:rFonts w:cstheme="minorHAnsi"/>
        </w:rPr>
      </w:pPr>
      <w:r w:rsidRPr="007E54DC">
        <w:rPr>
          <w:rFonts w:cstheme="minorHAnsi"/>
        </w:rPr>
        <w:t>Approval of the “GFCR Blue Bridge” service managed by UNCDF and with the aim of providing businesses and projects identified by GFCR Convening Agents with concessional loans, guarantees, and grants in various forms to help reef-positive businesses grow and attract private investment and scale impact for coral reefs and communities.</w:t>
      </w:r>
    </w:p>
    <w:p w:rsidRPr="007E54DC" w:rsidR="002B4088" w:rsidP="006628DE" w:rsidRDefault="001E5A1B" w14:paraId="5B72998E" w14:textId="6DD26C1B">
      <w:pPr>
        <w:pStyle w:val="ListParagraph"/>
        <w:numPr>
          <w:ilvl w:val="0"/>
          <w:numId w:val="27"/>
        </w:numPr>
        <w:spacing w:after="240"/>
        <w:textAlignment w:val="auto"/>
        <w:rPr>
          <w:rStyle w:val="normaltextrun"/>
        </w:rPr>
      </w:pPr>
      <w:r w:rsidRPr="007E54DC">
        <w:rPr>
          <w:rFonts w:cstheme="minorBidi"/>
        </w:rPr>
        <w:t xml:space="preserve">The </w:t>
      </w:r>
      <w:r w:rsidRPr="007E54DC" w:rsidR="00C23F0F">
        <w:rPr>
          <w:rStyle w:val="normaltextrun"/>
        </w:rPr>
        <w:t>expansion and strengthening of the GFCR Global Team</w:t>
      </w:r>
      <w:r w:rsidRPr="007E54DC">
        <w:rPr>
          <w:rStyle w:val="normaltextrun"/>
        </w:rPr>
        <w:t xml:space="preserve"> and ongoing </w:t>
      </w:r>
      <w:r w:rsidRPr="007E54DC" w:rsidR="00C23F0F">
        <w:rPr>
          <w:rStyle w:val="normaltextrun"/>
        </w:rPr>
        <w:t>refinement of the GFCR Impact Framework.</w:t>
      </w:r>
    </w:p>
    <w:p w:rsidRPr="007E54DC" w:rsidR="002B4088" w:rsidP="002B4088" w:rsidRDefault="57119E5B" w14:paraId="1D7A2C08" w14:textId="201E88E0">
      <w:pPr>
        <w:rPr>
          <w:rFonts w:cs="Arial"/>
          <w:lang w:eastAsia="en-GB"/>
        </w:rPr>
      </w:pPr>
      <w:r w:rsidRPr="007E54DC">
        <w:rPr>
          <w:rFonts w:cs="Arial"/>
          <w:lang w:eastAsia="en-GB"/>
        </w:rPr>
        <w:t xml:space="preserve">Overall, following conclusions drawn from the Annual Review, we can reasonably conclude that the fund has successfully scaled up from its concept and continues to offer strong </w:t>
      </w:r>
      <w:proofErr w:type="spellStart"/>
      <w:r w:rsidRPr="007E54DC">
        <w:rPr>
          <w:rFonts w:cs="Arial"/>
          <w:lang w:eastAsia="en-GB"/>
        </w:rPr>
        <w:t>VfM</w:t>
      </w:r>
      <w:proofErr w:type="spellEnd"/>
      <w:r w:rsidRPr="007E54DC">
        <w:rPr>
          <w:rFonts w:cs="Arial"/>
          <w:lang w:eastAsia="en-GB"/>
        </w:rPr>
        <w:t>. There is little economic, financial, or strategic argument for the UK to cease funding or switch to an alternative option.</w:t>
      </w:r>
      <w:r w:rsidRPr="007E54DC" w:rsidR="20928C35">
        <w:rPr>
          <w:rFonts w:cs="Arial"/>
          <w:lang w:eastAsia="en-GB"/>
        </w:rPr>
        <w:t xml:space="preserve"> </w:t>
      </w:r>
      <w:r w:rsidRPr="007E54DC" w:rsidR="002B4088">
        <w:rPr>
          <w:rFonts w:cs="Arial"/>
          <w:lang w:eastAsia="en-GB"/>
        </w:rPr>
        <w:t>Funding provided by the UK so far is unlikely to have fully achieved its initial objectives, due to the significant amount of time needed for impacts of conservation projects to be realised</w:t>
      </w:r>
      <w:r w:rsidRPr="007E54DC" w:rsidR="00FD4FB2">
        <w:rPr>
          <w:rFonts w:cs="Arial"/>
          <w:lang w:eastAsia="en-GB"/>
        </w:rPr>
        <w:t>. However, w</w:t>
      </w:r>
      <w:r w:rsidRPr="007E54DC" w:rsidR="002B4088">
        <w:rPr>
          <w:rFonts w:cs="Arial"/>
          <w:lang w:eastAsia="en-GB"/>
        </w:rPr>
        <w:t xml:space="preserve">e are confident in GFCR’s ambition and approach and believe this further investment will maximise global benefits. </w:t>
      </w:r>
    </w:p>
    <w:p w:rsidRPr="007E54DC" w:rsidR="00D15D16" w:rsidP="0022760D" w:rsidRDefault="0003093E" w14:paraId="09B7CCD1" w14:textId="2CDA144F" w14:noSpellErr="1">
      <w:pPr>
        <w:pStyle w:val="Heading2"/>
        <w:rPr/>
      </w:pPr>
      <w:bookmarkStart w:name="_Toc405332374" w:id="1027481619"/>
      <w:r w:rsidR="0003093E">
        <w:rPr/>
        <w:t xml:space="preserve">Section 2.2: </w:t>
      </w:r>
      <w:r w:rsidR="00D15D16">
        <w:rPr/>
        <w:t>Economic Appraisal</w:t>
      </w:r>
      <w:bookmarkEnd w:id="24"/>
      <w:bookmarkEnd w:id="1027481619"/>
    </w:p>
    <w:p w:rsidRPr="007E54DC" w:rsidR="00EC685F" w:rsidP="00D15D16" w:rsidRDefault="00D15D16" w14:paraId="4446B7AB" w14:textId="76872827">
      <w:r w:rsidRPr="007E54DC">
        <w:t>For the full updated value for money appraisal</w:t>
      </w:r>
      <w:r w:rsidRPr="007E54DC" w:rsidR="00B074D1">
        <w:t xml:space="preserve"> and options review</w:t>
      </w:r>
      <w:r w:rsidRPr="007E54DC">
        <w:t xml:space="preserve">, please see </w:t>
      </w:r>
      <w:hyperlink w:history="1" w:anchor="_Annex_F_–">
        <w:r w:rsidRPr="007E54DC">
          <w:rPr>
            <w:rStyle w:val="Hyperlink"/>
          </w:rPr>
          <w:t>Annex</w:t>
        </w:r>
        <w:r w:rsidRPr="007E54DC" w:rsidR="006E0401">
          <w:rPr>
            <w:rStyle w:val="Hyperlink"/>
          </w:rPr>
          <w:t xml:space="preserve"> E</w:t>
        </w:r>
      </w:hyperlink>
      <w:r w:rsidRPr="007E54DC" w:rsidR="009E4227">
        <w:t xml:space="preserve"> (attached separately)</w:t>
      </w:r>
      <w:r w:rsidRPr="007E54DC">
        <w:t xml:space="preserve">. </w:t>
      </w:r>
      <w:r w:rsidRPr="007E54DC" w:rsidR="009306B6">
        <w:t xml:space="preserve">A comprehensive appraisal of the full GFCR programme has not been possible due to the uncertainty around future project and programme designs, and limited habitat data. </w:t>
      </w:r>
      <w:r w:rsidRPr="007E54DC" w:rsidR="000156BA">
        <w:t xml:space="preserve">To provide </w:t>
      </w:r>
      <w:r w:rsidRPr="007E54DC" w:rsidR="009306B6">
        <w:t xml:space="preserve">an </w:t>
      </w:r>
      <w:r w:rsidRPr="007E54DC" w:rsidR="000156BA">
        <w:t>indication of value for money, projects</w:t>
      </w:r>
      <w:r w:rsidRPr="007E54DC" w:rsidR="009306B6">
        <w:t xml:space="preserve"> currently being implemented have been appraised as case studies due to greater certainty of their targeted impacts.</w:t>
      </w:r>
    </w:p>
    <w:p w:rsidRPr="007E54DC" w:rsidR="00D15D16" w:rsidP="00D15D16" w:rsidRDefault="009306B6" w14:paraId="0A197A37" w14:textId="05B322B2">
      <w:r w:rsidRPr="007E54DC">
        <w:t>T</w:t>
      </w:r>
      <w:r w:rsidRPr="007E54DC" w:rsidR="00D15D16">
        <w:t xml:space="preserve">he mean and median BCRs of the six appraised projects should be considered as indicative to demonstrate what UK funding </w:t>
      </w:r>
      <w:r w:rsidRPr="007E54DC" w:rsidR="00695B30">
        <w:t xml:space="preserve">and future GFCR projects are </w:t>
      </w:r>
      <w:r w:rsidRPr="007E54DC" w:rsidR="00D15D16">
        <w:t>likely to deliver.</w:t>
      </w:r>
    </w:p>
    <w:p w:rsidRPr="007E54DC" w:rsidR="00D15D16" w:rsidP="7412537F" w:rsidRDefault="00D15D16" w14:paraId="0E723A78" w14:textId="333B6B92">
      <w:r w:rsidRPr="007E54DC">
        <w:t xml:space="preserve">The core benefits appraised vary by project but include the value of avoided losses for coral, mangrove and seagrass ecosystems, job creation, carbon emission reductions and growth in fish stocks. </w:t>
      </w:r>
      <w:r w:rsidRPr="007E54DC" w:rsidR="44E44498">
        <w:rPr>
          <w:rFonts w:ascii="Calibri" w:hAnsi="Calibri" w:eastAsia="Calibri" w:cs="Calibri"/>
        </w:rPr>
        <w:t xml:space="preserve">. Potential job creation benefits, where relevant, were included as sensitivity analysis. </w:t>
      </w:r>
      <w:r w:rsidRPr="007E54DC">
        <w:t>Other non-monetised benefits include benefits to local tourism and incomes. </w:t>
      </w:r>
    </w:p>
    <w:p w:rsidRPr="007E54DC" w:rsidR="2D73519E" w:rsidP="7412537F" w:rsidRDefault="2D73519E" w14:paraId="58EBFF9E" w14:textId="0FF20A51">
      <w:r w:rsidRPr="007E54DC">
        <w:rPr>
          <w:rFonts w:ascii="Calibri" w:hAnsi="Calibri" w:eastAsia="Calibri" w:cs="Calibri"/>
        </w:rPr>
        <w:t xml:space="preserve">For this proposed funding uplift the appraisal has been updated and expanded to consider 6 of the 7 projects under implementation, to create an illustrative portfolio of projects that are likely to receive investment. The Bahamas project has not been appraised as they are not ODA eligible and would not receive UK funding. This appraisal is summarised in Table 5. </w:t>
      </w:r>
    </w:p>
    <w:p w:rsidRPr="007E54DC" w:rsidR="2D73519E" w:rsidP="7412537F" w:rsidRDefault="2D73519E" w14:paraId="3CCD792F" w14:textId="66170F8A">
      <w:r w:rsidRPr="007E54DC">
        <w:rPr>
          <w:rFonts w:ascii="Calibri" w:hAnsi="Calibri" w:eastAsia="Calibri" w:cs="Calibri"/>
        </w:rPr>
        <w:t xml:space="preserve">All case studies in the indicative portfolio are estimated to realise a positive net present value (NPV) </w:t>
      </w:r>
      <w:proofErr w:type="gramStart"/>
      <w:r w:rsidRPr="007E54DC">
        <w:rPr>
          <w:rFonts w:ascii="Calibri" w:hAnsi="Calibri" w:eastAsia="Calibri" w:cs="Calibri"/>
        </w:rPr>
        <w:t>with the exception of</w:t>
      </w:r>
      <w:proofErr w:type="gramEnd"/>
      <w:r w:rsidRPr="007E54DC">
        <w:rPr>
          <w:rFonts w:ascii="Calibri" w:hAnsi="Calibri" w:eastAsia="Calibri" w:cs="Calibri"/>
        </w:rPr>
        <w:t xml:space="preserve"> the Kenya Tanzania project, where owing to limited evidence only an extremely partial NPV is available based on the coral benefits</w:t>
      </w:r>
      <w:r w:rsidRPr="007E54DC" w:rsidR="007E54DC">
        <w:rPr>
          <w:rStyle w:val="FootnoteReference"/>
          <w:rFonts w:ascii="Calibri" w:hAnsi="Calibri" w:eastAsia="Calibri" w:cs="Calibri"/>
        </w:rPr>
        <w:footnoteReference w:id="18"/>
      </w:r>
      <w:r w:rsidRPr="007E54DC">
        <w:rPr>
          <w:rFonts w:ascii="Calibri" w:hAnsi="Calibri" w:eastAsia="Calibri" w:cs="Calibri"/>
        </w:rPr>
        <w:t xml:space="preserve"> which have been assessed for this project. As a result, this is likely to be an extremely conservative estimate of its benefits. The project was in early stages when the analysis was conducted, so limited quantified estimates of the area of habitats protected and jobs created were possible due to data limitations.</w:t>
      </w:r>
      <w:r w:rsidRPr="007E54DC">
        <w:rPr>
          <w:rFonts w:ascii="Calibri" w:hAnsi="Calibri" w:eastAsia="Calibri" w:cs="Calibri"/>
          <w:vertAlign w:val="superscript"/>
        </w:rPr>
        <w:t xml:space="preserve"> </w:t>
      </w:r>
    </w:p>
    <w:tbl>
      <w:tblPr>
        <w:tblStyle w:val="TableGrid"/>
        <w:tblW w:w="9006" w:type="dxa"/>
        <w:jc w:val="center"/>
        <w:tblLook w:val="04A0" w:firstRow="1" w:lastRow="0" w:firstColumn="1" w:lastColumn="0" w:noHBand="0" w:noVBand="1"/>
      </w:tblPr>
      <w:tblGrid>
        <w:gridCol w:w="1266"/>
        <w:gridCol w:w="2552"/>
        <w:gridCol w:w="1251"/>
        <w:gridCol w:w="1312"/>
        <w:gridCol w:w="1311"/>
        <w:gridCol w:w="1314"/>
      </w:tblGrid>
      <w:tr w:rsidRPr="007E54DC" w:rsidR="007E54DC" w:rsidTr="000C3AF0" w14:paraId="6BF1941F" w14:textId="77777777">
        <w:trPr>
          <w:trHeight w:val="267"/>
          <w:jc w:val="center"/>
        </w:trPr>
        <w:tc>
          <w:tcPr>
            <w:tcW w:w="1266" w:type="dxa"/>
            <w:shd w:val="clear" w:color="auto" w:fill="008938"/>
            <w:noWrap/>
            <w:hideMark/>
          </w:tcPr>
          <w:p w:rsidRPr="007E54DC" w:rsidR="007E54DC" w:rsidP="000C3AF0" w:rsidRDefault="007E54DC" w14:paraId="126C7170" w14:textId="77777777">
            <w:pPr>
              <w:spacing w:before="0" w:after="0"/>
              <w:rPr>
                <w:b/>
                <w:bCs/>
                <w:color w:val="FFFFFF" w:themeColor="background1"/>
                <w:sz w:val="22"/>
                <w:szCs w:val="22"/>
              </w:rPr>
            </w:pPr>
            <w:r w:rsidRPr="007E54DC">
              <w:rPr>
                <w:b/>
                <w:bCs/>
                <w:color w:val="FFFFFF" w:themeColor="background1"/>
              </w:rPr>
              <w:t> </w:t>
            </w:r>
          </w:p>
        </w:tc>
        <w:tc>
          <w:tcPr>
            <w:tcW w:w="2552" w:type="dxa"/>
            <w:shd w:val="clear" w:color="auto" w:fill="008938"/>
          </w:tcPr>
          <w:p w:rsidRPr="007E54DC" w:rsidR="007E54DC" w:rsidP="000C3AF0" w:rsidRDefault="007E54DC" w14:paraId="654890E1" w14:textId="77777777">
            <w:pPr>
              <w:spacing w:after="0"/>
              <w:jc w:val="right"/>
              <w:rPr>
                <w:b/>
                <w:bCs/>
                <w:color w:val="FFFFFF" w:themeColor="background1"/>
              </w:rPr>
            </w:pPr>
            <w:r w:rsidRPr="007E54DC">
              <w:rPr>
                <w:b/>
                <w:bCs/>
                <w:color w:val="FFFFFF" w:themeColor="background1"/>
              </w:rPr>
              <w:t>Monetised benefits</w:t>
            </w:r>
          </w:p>
        </w:tc>
        <w:tc>
          <w:tcPr>
            <w:tcW w:w="1251" w:type="dxa"/>
            <w:shd w:val="clear" w:color="auto" w:fill="008938"/>
            <w:noWrap/>
            <w:hideMark/>
          </w:tcPr>
          <w:p w:rsidRPr="007E54DC" w:rsidR="007E54DC" w:rsidP="000C3AF0" w:rsidRDefault="007E54DC" w14:paraId="2BEAF49C" w14:textId="77777777">
            <w:pPr>
              <w:spacing w:before="0" w:after="0"/>
              <w:jc w:val="right"/>
              <w:rPr>
                <w:b/>
                <w:bCs/>
                <w:color w:val="FFFFFF" w:themeColor="background1"/>
                <w:sz w:val="22"/>
                <w:szCs w:val="22"/>
              </w:rPr>
            </w:pPr>
            <w:r w:rsidRPr="007E54DC">
              <w:rPr>
                <w:b/>
                <w:bCs/>
                <w:color w:val="FFFFFF" w:themeColor="background1"/>
              </w:rPr>
              <w:t>Benefits</w:t>
            </w:r>
            <w:r w:rsidRPr="007E54DC">
              <w:rPr>
                <w:rStyle w:val="FootnoteReference"/>
                <w:b/>
                <w:bCs/>
                <w:color w:val="FFFFFF" w:themeColor="background1"/>
              </w:rPr>
              <w:footnoteReference w:id="19"/>
            </w:r>
          </w:p>
        </w:tc>
        <w:tc>
          <w:tcPr>
            <w:tcW w:w="1312" w:type="dxa"/>
            <w:shd w:val="clear" w:color="auto" w:fill="008938"/>
            <w:noWrap/>
            <w:hideMark/>
          </w:tcPr>
          <w:p w:rsidRPr="007E54DC" w:rsidR="007E54DC" w:rsidP="000C3AF0" w:rsidRDefault="007E54DC" w14:paraId="6FB6DB96" w14:textId="77777777">
            <w:pPr>
              <w:spacing w:before="0" w:after="0"/>
              <w:jc w:val="right"/>
              <w:rPr>
                <w:b/>
                <w:bCs/>
                <w:color w:val="FFFFFF" w:themeColor="background1"/>
                <w:sz w:val="22"/>
                <w:szCs w:val="22"/>
              </w:rPr>
            </w:pPr>
            <w:r w:rsidRPr="007E54DC">
              <w:rPr>
                <w:b/>
                <w:bCs/>
                <w:color w:val="FFFFFF" w:themeColor="background1"/>
              </w:rPr>
              <w:t>Costs</w:t>
            </w:r>
            <w:r w:rsidRPr="007E54DC">
              <w:rPr>
                <w:rStyle w:val="FootnoteReference"/>
                <w:b/>
                <w:bCs/>
                <w:color w:val="FFFFFF" w:themeColor="background1"/>
              </w:rPr>
              <w:footnoteReference w:id="20"/>
            </w:r>
          </w:p>
        </w:tc>
        <w:tc>
          <w:tcPr>
            <w:tcW w:w="1311" w:type="dxa"/>
            <w:shd w:val="clear" w:color="auto" w:fill="008938"/>
            <w:noWrap/>
            <w:hideMark/>
          </w:tcPr>
          <w:p w:rsidRPr="007E54DC" w:rsidR="007E54DC" w:rsidP="000C3AF0" w:rsidRDefault="007E54DC" w14:paraId="5512FE4E" w14:textId="77777777">
            <w:pPr>
              <w:spacing w:before="0" w:after="0"/>
              <w:jc w:val="right"/>
              <w:rPr>
                <w:b/>
                <w:bCs/>
                <w:color w:val="FFFFFF" w:themeColor="background1"/>
                <w:sz w:val="22"/>
                <w:szCs w:val="22"/>
              </w:rPr>
            </w:pPr>
            <w:r w:rsidRPr="007E54DC">
              <w:rPr>
                <w:b/>
                <w:bCs/>
                <w:color w:val="FFFFFF" w:themeColor="background1"/>
              </w:rPr>
              <w:t>BCR</w:t>
            </w:r>
          </w:p>
        </w:tc>
        <w:tc>
          <w:tcPr>
            <w:tcW w:w="1314" w:type="dxa"/>
            <w:shd w:val="clear" w:color="auto" w:fill="008938"/>
            <w:noWrap/>
            <w:hideMark/>
          </w:tcPr>
          <w:p w:rsidRPr="007E54DC" w:rsidR="007E54DC" w:rsidP="000C3AF0" w:rsidRDefault="007E54DC" w14:paraId="54B2D711" w14:textId="77777777">
            <w:pPr>
              <w:spacing w:before="0" w:after="0"/>
              <w:jc w:val="right"/>
              <w:rPr>
                <w:b/>
                <w:bCs/>
                <w:color w:val="FFFFFF" w:themeColor="background1"/>
                <w:sz w:val="22"/>
                <w:szCs w:val="22"/>
              </w:rPr>
            </w:pPr>
            <w:r w:rsidRPr="007E54DC">
              <w:rPr>
                <w:b/>
                <w:bCs/>
                <w:color w:val="FFFFFF" w:themeColor="background1"/>
              </w:rPr>
              <w:t>NPV</w:t>
            </w:r>
          </w:p>
        </w:tc>
      </w:tr>
      <w:tr w:rsidRPr="007E54DC" w:rsidR="007E54DC" w:rsidTr="000C3AF0" w14:paraId="5CDCCADE" w14:textId="77777777">
        <w:trPr>
          <w:trHeight w:val="267"/>
          <w:jc w:val="center"/>
        </w:trPr>
        <w:tc>
          <w:tcPr>
            <w:tcW w:w="1266" w:type="dxa"/>
            <w:noWrap/>
            <w:hideMark/>
          </w:tcPr>
          <w:p w:rsidRPr="007E54DC" w:rsidR="007E54DC" w:rsidP="000C3AF0" w:rsidRDefault="007E54DC" w14:paraId="2DCC4726" w14:textId="77777777">
            <w:pPr>
              <w:spacing w:before="0" w:after="0"/>
              <w:rPr>
                <w:sz w:val="22"/>
                <w:szCs w:val="22"/>
              </w:rPr>
            </w:pPr>
            <w:r w:rsidRPr="007E54DC">
              <w:t>Fiji</w:t>
            </w:r>
            <w:r w:rsidRPr="007E54DC">
              <w:rPr>
                <w:sz w:val="22"/>
                <w:szCs w:val="22"/>
              </w:rPr>
              <w:t xml:space="preserve"> </w:t>
            </w:r>
          </w:p>
        </w:tc>
        <w:tc>
          <w:tcPr>
            <w:tcW w:w="2552" w:type="dxa"/>
          </w:tcPr>
          <w:p w:rsidRPr="007E54DC" w:rsidR="007E54DC" w:rsidP="000C3AF0" w:rsidRDefault="007E54DC" w14:paraId="10D24736" w14:textId="77777777">
            <w:pPr>
              <w:spacing w:after="0"/>
              <w:jc w:val="right"/>
              <w:rPr>
                <w:rFonts w:ascii="Calibri" w:hAnsi="Calibri" w:cs="Calibri"/>
                <w:color w:val="000000" w:themeColor="text1"/>
              </w:rPr>
            </w:pPr>
            <w:r w:rsidRPr="007E54DC">
              <w:rPr>
                <w:rFonts w:ascii="Calibri" w:hAnsi="Calibri" w:cs="Calibri"/>
                <w:color w:val="000000" w:themeColor="text1"/>
              </w:rPr>
              <w:t xml:space="preserve">Corals, mangroves, fish stocks, carbon emission reductions </w:t>
            </w:r>
          </w:p>
        </w:tc>
        <w:tc>
          <w:tcPr>
            <w:tcW w:w="1251" w:type="dxa"/>
            <w:noWrap/>
            <w:vAlign w:val="bottom"/>
            <w:hideMark/>
          </w:tcPr>
          <w:p w:rsidRPr="007E54DC" w:rsidR="007E54DC" w:rsidP="000C3AF0" w:rsidRDefault="007E54DC" w14:paraId="6E02A440" w14:textId="77777777">
            <w:pPr>
              <w:spacing w:before="0" w:after="0"/>
              <w:jc w:val="right"/>
              <w:rPr>
                <w:sz w:val="22"/>
                <w:szCs w:val="22"/>
              </w:rPr>
            </w:pPr>
            <w:r w:rsidRPr="007E54DC">
              <w:rPr>
                <w:rFonts w:ascii="Calibri" w:hAnsi="Calibri" w:cs="Calibri"/>
                <w:color w:val="000000" w:themeColor="text1"/>
              </w:rPr>
              <w:t>£16.6m</w:t>
            </w:r>
          </w:p>
        </w:tc>
        <w:tc>
          <w:tcPr>
            <w:tcW w:w="1312" w:type="dxa"/>
            <w:noWrap/>
            <w:vAlign w:val="bottom"/>
            <w:hideMark/>
          </w:tcPr>
          <w:p w:rsidRPr="007E54DC" w:rsidR="007E54DC" w:rsidP="000C3AF0" w:rsidRDefault="007E54DC" w14:paraId="76642FF2" w14:textId="77777777">
            <w:pPr>
              <w:spacing w:before="0" w:after="0"/>
              <w:jc w:val="right"/>
              <w:rPr>
                <w:sz w:val="22"/>
                <w:szCs w:val="22"/>
              </w:rPr>
            </w:pPr>
            <w:r w:rsidRPr="007E54DC">
              <w:rPr>
                <w:rFonts w:ascii="Calibri" w:hAnsi="Calibri" w:cs="Calibri"/>
                <w:color w:val="000000" w:themeColor="text1"/>
              </w:rPr>
              <w:t>£3.2m</w:t>
            </w:r>
          </w:p>
        </w:tc>
        <w:tc>
          <w:tcPr>
            <w:tcW w:w="1311" w:type="dxa"/>
            <w:noWrap/>
            <w:vAlign w:val="bottom"/>
            <w:hideMark/>
          </w:tcPr>
          <w:p w:rsidRPr="007E54DC" w:rsidR="007E54DC" w:rsidP="000C3AF0" w:rsidRDefault="007E54DC" w14:paraId="7C904B20" w14:textId="77777777">
            <w:pPr>
              <w:spacing w:before="0" w:after="0"/>
              <w:jc w:val="right"/>
              <w:rPr>
                <w:sz w:val="22"/>
                <w:szCs w:val="22"/>
              </w:rPr>
            </w:pPr>
            <w:r w:rsidRPr="007E54DC">
              <w:rPr>
                <w:rFonts w:ascii="Calibri" w:hAnsi="Calibri" w:cs="Calibri"/>
                <w:color w:val="000000" w:themeColor="text1"/>
              </w:rPr>
              <w:t>5.2</w:t>
            </w:r>
          </w:p>
        </w:tc>
        <w:tc>
          <w:tcPr>
            <w:tcW w:w="1314" w:type="dxa"/>
            <w:noWrap/>
            <w:vAlign w:val="bottom"/>
            <w:hideMark/>
          </w:tcPr>
          <w:p w:rsidRPr="007E54DC" w:rsidR="007E54DC" w:rsidP="000C3AF0" w:rsidRDefault="007E54DC" w14:paraId="469F0056" w14:textId="77777777">
            <w:pPr>
              <w:spacing w:before="0" w:after="0"/>
              <w:jc w:val="right"/>
              <w:rPr>
                <w:sz w:val="22"/>
                <w:szCs w:val="22"/>
              </w:rPr>
            </w:pPr>
            <w:r w:rsidRPr="007E54DC">
              <w:rPr>
                <w:rFonts w:ascii="Calibri" w:hAnsi="Calibri" w:cs="Calibri"/>
                <w:color w:val="000000" w:themeColor="text1"/>
              </w:rPr>
              <w:t>£13.4m</w:t>
            </w:r>
          </w:p>
        </w:tc>
      </w:tr>
      <w:tr w:rsidRPr="007E54DC" w:rsidR="007E54DC" w:rsidTr="000C3AF0" w14:paraId="5E79916E" w14:textId="77777777">
        <w:trPr>
          <w:trHeight w:val="267"/>
          <w:jc w:val="center"/>
        </w:trPr>
        <w:tc>
          <w:tcPr>
            <w:tcW w:w="1266" w:type="dxa"/>
            <w:shd w:val="clear" w:color="auto" w:fill="EFF6EA"/>
            <w:noWrap/>
            <w:hideMark/>
          </w:tcPr>
          <w:p w:rsidRPr="007E54DC" w:rsidR="007E54DC" w:rsidP="000C3AF0" w:rsidRDefault="007E54DC" w14:paraId="1D5F8882" w14:textId="77777777">
            <w:pPr>
              <w:spacing w:before="0" w:after="0"/>
              <w:rPr>
                <w:sz w:val="22"/>
                <w:szCs w:val="22"/>
              </w:rPr>
            </w:pPr>
            <w:r w:rsidRPr="007E54DC">
              <w:t>Philippines</w:t>
            </w:r>
            <w:r w:rsidRPr="007E54DC">
              <w:rPr>
                <w:sz w:val="22"/>
                <w:szCs w:val="22"/>
              </w:rPr>
              <w:t xml:space="preserve"> </w:t>
            </w:r>
          </w:p>
        </w:tc>
        <w:tc>
          <w:tcPr>
            <w:tcW w:w="2552" w:type="dxa"/>
            <w:shd w:val="clear" w:color="auto" w:fill="EFF6EA"/>
          </w:tcPr>
          <w:p w:rsidRPr="007E54DC" w:rsidR="007E54DC" w:rsidP="000C3AF0" w:rsidRDefault="007E54DC" w14:paraId="75049F3E" w14:textId="77777777">
            <w:pPr>
              <w:spacing w:after="0"/>
              <w:jc w:val="right"/>
              <w:rPr>
                <w:rFonts w:ascii="Calibri" w:hAnsi="Calibri" w:cs="Calibri"/>
                <w:color w:val="000000" w:themeColor="text1"/>
              </w:rPr>
            </w:pPr>
            <w:r w:rsidRPr="007E54DC">
              <w:rPr>
                <w:rFonts w:ascii="Calibri" w:hAnsi="Calibri" w:cs="Calibri"/>
                <w:color w:val="000000" w:themeColor="text1"/>
              </w:rPr>
              <w:t>Corals, mangroves, carbon emission reductions</w:t>
            </w:r>
          </w:p>
          <w:p w:rsidRPr="007E54DC" w:rsidR="007E54DC" w:rsidP="000C3AF0" w:rsidRDefault="007E54DC" w14:paraId="4D5DFA52" w14:textId="77777777">
            <w:pPr>
              <w:spacing w:after="0"/>
              <w:jc w:val="right"/>
              <w:rPr>
                <w:rFonts w:ascii="Calibri" w:hAnsi="Calibri" w:cs="Calibri"/>
                <w:color w:val="000000" w:themeColor="text1"/>
              </w:rPr>
            </w:pPr>
            <w:r w:rsidRPr="007E54DC">
              <w:rPr>
                <w:rFonts w:ascii="Calibri" w:hAnsi="Calibri" w:cs="Calibri"/>
                <w:color w:val="000000" w:themeColor="text1"/>
              </w:rPr>
              <w:t>(Extremely partial: missing seagrass and fishing benefits)</w:t>
            </w:r>
          </w:p>
        </w:tc>
        <w:tc>
          <w:tcPr>
            <w:tcW w:w="1251" w:type="dxa"/>
            <w:shd w:val="clear" w:color="auto" w:fill="EFF6EA"/>
            <w:noWrap/>
            <w:vAlign w:val="bottom"/>
            <w:hideMark/>
          </w:tcPr>
          <w:p w:rsidRPr="007E54DC" w:rsidR="007E54DC" w:rsidP="000C3AF0" w:rsidRDefault="007E54DC" w14:paraId="2958EBBD" w14:textId="77777777">
            <w:pPr>
              <w:spacing w:before="0" w:after="0"/>
              <w:jc w:val="right"/>
              <w:rPr>
                <w:sz w:val="22"/>
                <w:szCs w:val="22"/>
              </w:rPr>
            </w:pPr>
            <w:r w:rsidRPr="007E54DC">
              <w:rPr>
                <w:rFonts w:ascii="Calibri" w:hAnsi="Calibri" w:cs="Calibri"/>
                <w:color w:val="000000" w:themeColor="text1"/>
              </w:rPr>
              <w:t>£19.0m</w:t>
            </w:r>
          </w:p>
        </w:tc>
        <w:tc>
          <w:tcPr>
            <w:tcW w:w="1312" w:type="dxa"/>
            <w:shd w:val="clear" w:color="auto" w:fill="EFF6EA"/>
            <w:noWrap/>
            <w:vAlign w:val="bottom"/>
            <w:hideMark/>
          </w:tcPr>
          <w:p w:rsidRPr="007E54DC" w:rsidR="007E54DC" w:rsidP="000C3AF0" w:rsidRDefault="007E54DC" w14:paraId="5358843B" w14:textId="77777777">
            <w:pPr>
              <w:spacing w:before="0" w:after="0"/>
              <w:jc w:val="right"/>
              <w:rPr>
                <w:sz w:val="22"/>
                <w:szCs w:val="22"/>
              </w:rPr>
            </w:pPr>
            <w:r w:rsidRPr="007E54DC">
              <w:rPr>
                <w:rFonts w:ascii="Calibri" w:hAnsi="Calibri" w:cs="Calibri"/>
                <w:color w:val="000000" w:themeColor="text1"/>
              </w:rPr>
              <w:t>£11.8m</w:t>
            </w:r>
          </w:p>
        </w:tc>
        <w:tc>
          <w:tcPr>
            <w:tcW w:w="1311" w:type="dxa"/>
            <w:shd w:val="clear" w:color="auto" w:fill="EFF6EA"/>
            <w:noWrap/>
            <w:vAlign w:val="bottom"/>
            <w:hideMark/>
          </w:tcPr>
          <w:p w:rsidRPr="007E54DC" w:rsidR="007E54DC" w:rsidP="000C3AF0" w:rsidRDefault="007E54DC" w14:paraId="05D5ABB8" w14:textId="77777777">
            <w:pPr>
              <w:spacing w:before="0" w:after="0"/>
              <w:jc w:val="right"/>
              <w:rPr>
                <w:sz w:val="22"/>
                <w:szCs w:val="22"/>
              </w:rPr>
            </w:pPr>
            <w:r w:rsidRPr="007E54DC">
              <w:rPr>
                <w:rFonts w:ascii="Calibri" w:hAnsi="Calibri" w:cs="Calibri"/>
                <w:color w:val="000000" w:themeColor="text1"/>
              </w:rPr>
              <w:t>1.6</w:t>
            </w:r>
          </w:p>
        </w:tc>
        <w:tc>
          <w:tcPr>
            <w:tcW w:w="1314" w:type="dxa"/>
            <w:shd w:val="clear" w:color="auto" w:fill="EFF6EA"/>
            <w:noWrap/>
            <w:vAlign w:val="bottom"/>
            <w:hideMark/>
          </w:tcPr>
          <w:p w:rsidRPr="007E54DC" w:rsidR="007E54DC" w:rsidP="000C3AF0" w:rsidRDefault="007E54DC" w14:paraId="712974FA" w14:textId="77777777">
            <w:pPr>
              <w:spacing w:before="0" w:after="0"/>
              <w:jc w:val="right"/>
              <w:rPr>
                <w:sz w:val="22"/>
                <w:szCs w:val="22"/>
              </w:rPr>
            </w:pPr>
            <w:r w:rsidRPr="007E54DC">
              <w:rPr>
                <w:rFonts w:ascii="Calibri" w:hAnsi="Calibri" w:cs="Calibri"/>
                <w:color w:val="000000" w:themeColor="text1"/>
              </w:rPr>
              <w:t>£7.2m</w:t>
            </w:r>
          </w:p>
        </w:tc>
      </w:tr>
      <w:tr w:rsidRPr="007E54DC" w:rsidR="007E54DC" w:rsidTr="000C3AF0" w14:paraId="1D8D07D7" w14:textId="77777777">
        <w:trPr>
          <w:trHeight w:val="267"/>
          <w:jc w:val="center"/>
        </w:trPr>
        <w:tc>
          <w:tcPr>
            <w:tcW w:w="1266" w:type="dxa"/>
            <w:noWrap/>
            <w:hideMark/>
          </w:tcPr>
          <w:p w:rsidRPr="007E54DC" w:rsidR="007E54DC" w:rsidP="000C3AF0" w:rsidRDefault="007E54DC" w14:paraId="78CD177A" w14:textId="77777777">
            <w:pPr>
              <w:spacing w:before="0" w:after="0"/>
              <w:rPr>
                <w:sz w:val="22"/>
                <w:szCs w:val="22"/>
              </w:rPr>
            </w:pPr>
            <w:r w:rsidRPr="007E54DC">
              <w:t>Papua New Guinea</w:t>
            </w:r>
            <w:r w:rsidRPr="007E54DC">
              <w:rPr>
                <w:sz w:val="22"/>
                <w:szCs w:val="22"/>
              </w:rPr>
              <w:t xml:space="preserve"> </w:t>
            </w:r>
          </w:p>
        </w:tc>
        <w:tc>
          <w:tcPr>
            <w:tcW w:w="2552" w:type="dxa"/>
          </w:tcPr>
          <w:p w:rsidRPr="007E54DC" w:rsidR="007E54DC" w:rsidP="000C3AF0" w:rsidRDefault="007E54DC" w14:paraId="6F0AA073" w14:textId="77777777">
            <w:pPr>
              <w:spacing w:after="0"/>
              <w:jc w:val="right"/>
              <w:rPr>
                <w:rFonts w:ascii="Calibri" w:hAnsi="Calibri" w:cs="Calibri"/>
                <w:color w:val="000000" w:themeColor="text1"/>
              </w:rPr>
            </w:pPr>
            <w:r w:rsidRPr="007E54DC">
              <w:rPr>
                <w:rFonts w:ascii="Calibri" w:hAnsi="Calibri" w:cs="Calibri"/>
                <w:color w:val="000000" w:themeColor="text1"/>
              </w:rPr>
              <w:t xml:space="preserve">Corals, mangroves, seagrass, carbon emission reductions </w:t>
            </w:r>
          </w:p>
        </w:tc>
        <w:tc>
          <w:tcPr>
            <w:tcW w:w="1251" w:type="dxa"/>
            <w:noWrap/>
            <w:vAlign w:val="bottom"/>
            <w:hideMark/>
          </w:tcPr>
          <w:p w:rsidRPr="007E54DC" w:rsidR="007E54DC" w:rsidP="000C3AF0" w:rsidRDefault="007E54DC" w14:paraId="05BA42CF" w14:textId="77777777">
            <w:pPr>
              <w:spacing w:before="0" w:after="0"/>
              <w:jc w:val="right"/>
              <w:rPr>
                <w:sz w:val="22"/>
                <w:szCs w:val="22"/>
              </w:rPr>
            </w:pPr>
            <w:r w:rsidRPr="007E54DC">
              <w:rPr>
                <w:rFonts w:ascii="Calibri" w:hAnsi="Calibri" w:cs="Calibri"/>
                <w:color w:val="000000" w:themeColor="text1"/>
              </w:rPr>
              <w:t>£4.1m</w:t>
            </w:r>
          </w:p>
        </w:tc>
        <w:tc>
          <w:tcPr>
            <w:tcW w:w="1312" w:type="dxa"/>
            <w:noWrap/>
            <w:vAlign w:val="bottom"/>
            <w:hideMark/>
          </w:tcPr>
          <w:p w:rsidRPr="007E54DC" w:rsidR="007E54DC" w:rsidP="000C3AF0" w:rsidRDefault="007E54DC" w14:paraId="55A1A962" w14:textId="77777777">
            <w:pPr>
              <w:spacing w:before="0" w:after="0"/>
              <w:jc w:val="right"/>
              <w:rPr>
                <w:sz w:val="22"/>
                <w:szCs w:val="22"/>
              </w:rPr>
            </w:pPr>
            <w:r w:rsidRPr="007E54DC">
              <w:rPr>
                <w:rFonts w:ascii="Calibri" w:hAnsi="Calibri" w:cs="Calibri"/>
                <w:color w:val="000000" w:themeColor="text1"/>
              </w:rPr>
              <w:t>£3.0m</w:t>
            </w:r>
          </w:p>
        </w:tc>
        <w:tc>
          <w:tcPr>
            <w:tcW w:w="1311" w:type="dxa"/>
            <w:noWrap/>
            <w:vAlign w:val="bottom"/>
            <w:hideMark/>
          </w:tcPr>
          <w:p w:rsidRPr="007E54DC" w:rsidR="007E54DC" w:rsidP="000C3AF0" w:rsidRDefault="007E54DC" w14:paraId="35EBF88F" w14:textId="77777777">
            <w:pPr>
              <w:spacing w:before="0" w:after="0"/>
              <w:jc w:val="right"/>
              <w:rPr>
                <w:sz w:val="22"/>
                <w:szCs w:val="22"/>
              </w:rPr>
            </w:pPr>
            <w:r w:rsidRPr="007E54DC">
              <w:rPr>
                <w:rFonts w:ascii="Calibri" w:hAnsi="Calibri" w:cs="Calibri"/>
                <w:color w:val="000000" w:themeColor="text1"/>
              </w:rPr>
              <w:t>1.3</w:t>
            </w:r>
          </w:p>
        </w:tc>
        <w:tc>
          <w:tcPr>
            <w:tcW w:w="1314" w:type="dxa"/>
            <w:noWrap/>
            <w:vAlign w:val="bottom"/>
            <w:hideMark/>
          </w:tcPr>
          <w:p w:rsidRPr="007E54DC" w:rsidR="007E54DC" w:rsidP="000C3AF0" w:rsidRDefault="007E54DC" w14:paraId="38AB4544" w14:textId="77777777">
            <w:pPr>
              <w:spacing w:before="0" w:after="0"/>
              <w:jc w:val="right"/>
              <w:rPr>
                <w:sz w:val="22"/>
                <w:szCs w:val="22"/>
              </w:rPr>
            </w:pPr>
            <w:r w:rsidRPr="007E54DC">
              <w:rPr>
                <w:rFonts w:ascii="Calibri" w:hAnsi="Calibri" w:cs="Calibri"/>
                <w:color w:val="000000" w:themeColor="text1"/>
              </w:rPr>
              <w:t>£1.0m</w:t>
            </w:r>
          </w:p>
        </w:tc>
      </w:tr>
      <w:tr w:rsidRPr="007E54DC" w:rsidR="007E54DC" w:rsidTr="000C3AF0" w14:paraId="623293C6" w14:textId="77777777">
        <w:trPr>
          <w:trHeight w:val="267"/>
          <w:jc w:val="center"/>
        </w:trPr>
        <w:tc>
          <w:tcPr>
            <w:tcW w:w="1266" w:type="dxa"/>
            <w:shd w:val="clear" w:color="auto" w:fill="EFF6EA"/>
            <w:noWrap/>
            <w:hideMark/>
          </w:tcPr>
          <w:p w:rsidRPr="007E54DC" w:rsidR="007E54DC" w:rsidP="000C3AF0" w:rsidRDefault="007E54DC" w14:paraId="4672772E" w14:textId="77777777">
            <w:pPr>
              <w:spacing w:before="0" w:after="0"/>
              <w:rPr>
                <w:sz w:val="22"/>
                <w:szCs w:val="22"/>
              </w:rPr>
            </w:pPr>
            <w:r w:rsidRPr="007E54DC">
              <w:t>Kenya Tanzania</w:t>
            </w:r>
            <w:r w:rsidRPr="007E54DC">
              <w:rPr>
                <w:rStyle w:val="FootnoteReference"/>
              </w:rPr>
              <w:footnoteReference w:id="21"/>
            </w:r>
          </w:p>
        </w:tc>
        <w:tc>
          <w:tcPr>
            <w:tcW w:w="2552" w:type="dxa"/>
            <w:shd w:val="clear" w:color="auto" w:fill="EFF6EA"/>
          </w:tcPr>
          <w:p w:rsidRPr="007E54DC" w:rsidR="007E54DC" w:rsidP="000C3AF0" w:rsidRDefault="007E54DC" w14:paraId="305302C4" w14:textId="77777777">
            <w:pPr>
              <w:spacing w:after="0"/>
              <w:jc w:val="right"/>
              <w:rPr>
                <w:rFonts w:ascii="Calibri" w:hAnsi="Calibri" w:cs="Calibri"/>
                <w:color w:val="000000" w:themeColor="text1"/>
              </w:rPr>
            </w:pPr>
            <w:r w:rsidRPr="007E54DC">
              <w:rPr>
                <w:rFonts w:ascii="Calibri" w:hAnsi="Calibri" w:cs="Calibri"/>
                <w:color w:val="000000" w:themeColor="text1"/>
              </w:rPr>
              <w:t>Corals</w:t>
            </w:r>
          </w:p>
          <w:p w:rsidRPr="007E54DC" w:rsidR="007E54DC" w:rsidP="000C3AF0" w:rsidRDefault="007E54DC" w14:paraId="7B9DF7FC" w14:textId="77777777">
            <w:pPr>
              <w:spacing w:after="0"/>
              <w:jc w:val="right"/>
              <w:rPr>
                <w:rFonts w:ascii="Calibri" w:hAnsi="Calibri" w:cs="Calibri"/>
                <w:color w:val="000000" w:themeColor="text1"/>
              </w:rPr>
            </w:pPr>
            <w:r w:rsidRPr="007E54DC">
              <w:rPr>
                <w:rFonts w:ascii="Calibri" w:hAnsi="Calibri" w:cs="Calibri"/>
                <w:color w:val="000000" w:themeColor="text1"/>
              </w:rPr>
              <w:t>(Extremely partial / limited evidence)</w:t>
            </w:r>
          </w:p>
        </w:tc>
        <w:tc>
          <w:tcPr>
            <w:tcW w:w="1251" w:type="dxa"/>
            <w:shd w:val="clear" w:color="auto" w:fill="EFF6EA"/>
            <w:noWrap/>
            <w:vAlign w:val="bottom"/>
            <w:hideMark/>
          </w:tcPr>
          <w:p w:rsidRPr="007E54DC" w:rsidR="007E54DC" w:rsidP="000C3AF0" w:rsidRDefault="007E54DC" w14:paraId="763F7621" w14:textId="77777777">
            <w:pPr>
              <w:spacing w:before="0" w:after="0"/>
              <w:jc w:val="right"/>
              <w:rPr>
                <w:sz w:val="22"/>
                <w:szCs w:val="22"/>
              </w:rPr>
            </w:pPr>
            <w:r w:rsidRPr="007E54DC">
              <w:rPr>
                <w:rFonts w:ascii="Calibri" w:hAnsi="Calibri" w:cs="Calibri"/>
                <w:color w:val="000000" w:themeColor="text1"/>
              </w:rPr>
              <w:t>£1.4m</w:t>
            </w:r>
          </w:p>
        </w:tc>
        <w:tc>
          <w:tcPr>
            <w:tcW w:w="1312" w:type="dxa"/>
            <w:shd w:val="clear" w:color="auto" w:fill="EFF6EA"/>
            <w:noWrap/>
            <w:vAlign w:val="bottom"/>
            <w:hideMark/>
          </w:tcPr>
          <w:p w:rsidRPr="007E54DC" w:rsidR="007E54DC" w:rsidP="000C3AF0" w:rsidRDefault="007E54DC" w14:paraId="7BA3CC4A" w14:textId="77777777">
            <w:pPr>
              <w:spacing w:before="0" w:after="0"/>
              <w:jc w:val="right"/>
              <w:rPr>
                <w:sz w:val="22"/>
                <w:szCs w:val="22"/>
              </w:rPr>
            </w:pPr>
            <w:r w:rsidRPr="007E54DC">
              <w:rPr>
                <w:rFonts w:ascii="Calibri" w:hAnsi="Calibri" w:cs="Calibri"/>
                <w:color w:val="000000" w:themeColor="text1"/>
              </w:rPr>
              <w:t>£2.2m</w:t>
            </w:r>
          </w:p>
        </w:tc>
        <w:tc>
          <w:tcPr>
            <w:tcW w:w="1311" w:type="dxa"/>
            <w:shd w:val="clear" w:color="auto" w:fill="EFF6EA"/>
            <w:noWrap/>
            <w:vAlign w:val="bottom"/>
            <w:hideMark/>
          </w:tcPr>
          <w:p w:rsidRPr="007E54DC" w:rsidR="007E54DC" w:rsidP="000C3AF0" w:rsidRDefault="007E54DC" w14:paraId="55E14046" w14:textId="77777777">
            <w:pPr>
              <w:spacing w:before="0" w:after="0"/>
              <w:jc w:val="right"/>
              <w:rPr>
                <w:sz w:val="22"/>
                <w:szCs w:val="22"/>
              </w:rPr>
            </w:pPr>
            <w:r w:rsidRPr="007E54DC">
              <w:rPr>
                <w:rFonts w:ascii="Calibri" w:hAnsi="Calibri" w:cs="Calibri"/>
                <w:color w:val="000000" w:themeColor="text1"/>
              </w:rPr>
              <w:t>0.7</w:t>
            </w:r>
          </w:p>
        </w:tc>
        <w:tc>
          <w:tcPr>
            <w:tcW w:w="1314" w:type="dxa"/>
            <w:shd w:val="clear" w:color="auto" w:fill="EFF6EA"/>
            <w:noWrap/>
            <w:vAlign w:val="bottom"/>
            <w:hideMark/>
          </w:tcPr>
          <w:p w:rsidRPr="007E54DC" w:rsidR="007E54DC" w:rsidP="000C3AF0" w:rsidRDefault="007E54DC" w14:paraId="3D6B8DFA" w14:textId="77777777">
            <w:pPr>
              <w:spacing w:before="0" w:after="0"/>
              <w:jc w:val="right"/>
              <w:rPr>
                <w:sz w:val="22"/>
                <w:szCs w:val="22"/>
              </w:rPr>
            </w:pPr>
            <w:r w:rsidRPr="007E54DC">
              <w:rPr>
                <w:rFonts w:ascii="Calibri" w:hAnsi="Calibri" w:cs="Calibri"/>
                <w:color w:val="000000" w:themeColor="text1"/>
              </w:rPr>
              <w:t>-£0.8m</w:t>
            </w:r>
          </w:p>
        </w:tc>
      </w:tr>
      <w:tr w:rsidRPr="007E54DC" w:rsidR="007E54DC" w:rsidTr="000C3AF0" w14:paraId="7B54DB63" w14:textId="77777777">
        <w:trPr>
          <w:trHeight w:val="267"/>
          <w:jc w:val="center"/>
        </w:trPr>
        <w:tc>
          <w:tcPr>
            <w:tcW w:w="1266" w:type="dxa"/>
            <w:noWrap/>
            <w:hideMark/>
          </w:tcPr>
          <w:p w:rsidRPr="007E54DC" w:rsidR="007E54DC" w:rsidP="000C3AF0" w:rsidRDefault="007E54DC" w14:paraId="495BF89B" w14:textId="77777777">
            <w:pPr>
              <w:spacing w:before="0" w:after="0"/>
              <w:rPr>
                <w:sz w:val="22"/>
                <w:szCs w:val="22"/>
              </w:rPr>
            </w:pPr>
            <w:r w:rsidRPr="007E54DC">
              <w:t>Indonesia #1</w:t>
            </w:r>
            <w:r w:rsidRPr="007E54DC">
              <w:rPr>
                <w:sz w:val="22"/>
                <w:szCs w:val="22"/>
              </w:rPr>
              <w:t xml:space="preserve"> </w:t>
            </w:r>
          </w:p>
        </w:tc>
        <w:tc>
          <w:tcPr>
            <w:tcW w:w="2552" w:type="dxa"/>
          </w:tcPr>
          <w:p w:rsidRPr="007E54DC" w:rsidR="007E54DC" w:rsidP="000C3AF0" w:rsidRDefault="007E54DC" w14:paraId="685D3ECD" w14:textId="77777777">
            <w:pPr>
              <w:spacing w:after="0"/>
              <w:jc w:val="right"/>
              <w:rPr>
                <w:rFonts w:ascii="Calibri" w:hAnsi="Calibri" w:cs="Calibri"/>
                <w:color w:val="000000" w:themeColor="text1"/>
              </w:rPr>
            </w:pPr>
            <w:r w:rsidRPr="007E54DC">
              <w:rPr>
                <w:rFonts w:ascii="Calibri" w:hAnsi="Calibri" w:cs="Calibri"/>
                <w:color w:val="000000" w:themeColor="text1"/>
              </w:rPr>
              <w:t>Corals, mangroves, seagrass, carbon emission reductions</w:t>
            </w:r>
          </w:p>
        </w:tc>
        <w:tc>
          <w:tcPr>
            <w:tcW w:w="1251" w:type="dxa"/>
            <w:noWrap/>
            <w:vAlign w:val="bottom"/>
            <w:hideMark/>
          </w:tcPr>
          <w:p w:rsidRPr="007E54DC" w:rsidR="007E54DC" w:rsidP="000C3AF0" w:rsidRDefault="007E54DC" w14:paraId="5C3F3F46" w14:textId="77777777">
            <w:pPr>
              <w:spacing w:before="0" w:after="0"/>
              <w:jc w:val="right"/>
              <w:rPr>
                <w:sz w:val="22"/>
                <w:szCs w:val="22"/>
              </w:rPr>
            </w:pPr>
            <w:r w:rsidRPr="007E54DC">
              <w:rPr>
                <w:rFonts w:ascii="Calibri" w:hAnsi="Calibri" w:cs="Calibri"/>
                <w:color w:val="000000" w:themeColor="text1"/>
              </w:rPr>
              <w:t>£26.9m</w:t>
            </w:r>
          </w:p>
        </w:tc>
        <w:tc>
          <w:tcPr>
            <w:tcW w:w="1312" w:type="dxa"/>
            <w:noWrap/>
            <w:vAlign w:val="bottom"/>
            <w:hideMark/>
          </w:tcPr>
          <w:p w:rsidRPr="007E54DC" w:rsidR="007E54DC" w:rsidP="000C3AF0" w:rsidRDefault="007E54DC" w14:paraId="016B437D" w14:textId="77777777">
            <w:pPr>
              <w:spacing w:before="0" w:after="0"/>
              <w:jc w:val="right"/>
              <w:rPr>
                <w:sz w:val="22"/>
                <w:szCs w:val="22"/>
              </w:rPr>
            </w:pPr>
            <w:r w:rsidRPr="007E54DC">
              <w:rPr>
                <w:rFonts w:ascii="Calibri" w:hAnsi="Calibri" w:cs="Calibri"/>
                <w:color w:val="000000" w:themeColor="text1"/>
              </w:rPr>
              <w:t>£2.0m</w:t>
            </w:r>
          </w:p>
        </w:tc>
        <w:tc>
          <w:tcPr>
            <w:tcW w:w="1311" w:type="dxa"/>
            <w:noWrap/>
            <w:vAlign w:val="bottom"/>
            <w:hideMark/>
          </w:tcPr>
          <w:p w:rsidRPr="007E54DC" w:rsidR="007E54DC" w:rsidP="000C3AF0" w:rsidRDefault="007E54DC" w14:paraId="0B08CAD6" w14:textId="77777777">
            <w:pPr>
              <w:spacing w:before="0" w:after="0"/>
              <w:jc w:val="right"/>
              <w:rPr>
                <w:sz w:val="22"/>
                <w:szCs w:val="22"/>
              </w:rPr>
            </w:pPr>
            <w:r w:rsidRPr="007E54DC">
              <w:rPr>
                <w:rFonts w:ascii="Calibri" w:hAnsi="Calibri" w:cs="Calibri"/>
                <w:color w:val="000000" w:themeColor="text1"/>
              </w:rPr>
              <w:t>13.2</w:t>
            </w:r>
          </w:p>
        </w:tc>
        <w:tc>
          <w:tcPr>
            <w:tcW w:w="1314" w:type="dxa"/>
            <w:noWrap/>
            <w:vAlign w:val="bottom"/>
            <w:hideMark/>
          </w:tcPr>
          <w:p w:rsidRPr="007E54DC" w:rsidR="007E54DC" w:rsidP="000C3AF0" w:rsidRDefault="007E54DC" w14:paraId="6B5A1E9A" w14:textId="77777777">
            <w:pPr>
              <w:spacing w:before="0" w:after="0"/>
              <w:jc w:val="right"/>
              <w:rPr>
                <w:sz w:val="22"/>
                <w:szCs w:val="22"/>
              </w:rPr>
            </w:pPr>
            <w:r w:rsidRPr="007E54DC">
              <w:rPr>
                <w:rFonts w:ascii="Calibri" w:hAnsi="Calibri" w:cs="Calibri"/>
                <w:color w:val="000000" w:themeColor="text1"/>
              </w:rPr>
              <w:t>£24.8m</w:t>
            </w:r>
          </w:p>
        </w:tc>
      </w:tr>
      <w:tr w:rsidRPr="007E54DC" w:rsidR="007E54DC" w:rsidTr="000C3AF0" w14:paraId="3A6B05B2" w14:textId="77777777">
        <w:trPr>
          <w:trHeight w:val="267"/>
          <w:jc w:val="center"/>
        </w:trPr>
        <w:tc>
          <w:tcPr>
            <w:tcW w:w="1266" w:type="dxa"/>
            <w:shd w:val="clear" w:color="auto" w:fill="EFF6EA"/>
            <w:noWrap/>
            <w:hideMark/>
          </w:tcPr>
          <w:p w:rsidRPr="007E54DC" w:rsidR="007E54DC" w:rsidP="000C3AF0" w:rsidRDefault="007E54DC" w14:paraId="01715AAE" w14:textId="77777777">
            <w:pPr>
              <w:spacing w:before="0" w:after="0"/>
              <w:rPr>
                <w:sz w:val="22"/>
                <w:szCs w:val="22"/>
              </w:rPr>
            </w:pPr>
            <w:r w:rsidRPr="007E54DC">
              <w:t>MAR+</w:t>
            </w:r>
            <w:r w:rsidRPr="007E54DC">
              <w:rPr>
                <w:sz w:val="22"/>
                <w:szCs w:val="22"/>
              </w:rPr>
              <w:t xml:space="preserve"> </w:t>
            </w:r>
          </w:p>
        </w:tc>
        <w:tc>
          <w:tcPr>
            <w:tcW w:w="2552" w:type="dxa"/>
            <w:shd w:val="clear" w:color="auto" w:fill="EFF6EA"/>
          </w:tcPr>
          <w:p w:rsidRPr="007E54DC" w:rsidR="007E54DC" w:rsidP="000C3AF0" w:rsidRDefault="007E54DC" w14:paraId="74B08678" w14:textId="77777777">
            <w:pPr>
              <w:spacing w:after="0"/>
              <w:jc w:val="right"/>
              <w:rPr>
                <w:rFonts w:ascii="Calibri" w:hAnsi="Calibri" w:cs="Calibri"/>
                <w:color w:val="000000" w:themeColor="text1"/>
              </w:rPr>
            </w:pPr>
            <w:r w:rsidRPr="007E54DC">
              <w:rPr>
                <w:rFonts w:ascii="Calibri" w:hAnsi="Calibri" w:cs="Calibri"/>
                <w:color w:val="000000" w:themeColor="text1"/>
              </w:rPr>
              <w:t>Corals, mangroves, seagrass, carbon emission reductions</w:t>
            </w:r>
          </w:p>
        </w:tc>
        <w:tc>
          <w:tcPr>
            <w:tcW w:w="1251" w:type="dxa"/>
            <w:shd w:val="clear" w:color="auto" w:fill="EFF6EA"/>
            <w:noWrap/>
            <w:vAlign w:val="bottom"/>
            <w:hideMark/>
          </w:tcPr>
          <w:p w:rsidRPr="007E54DC" w:rsidR="007E54DC" w:rsidP="000C3AF0" w:rsidRDefault="007E54DC" w14:paraId="3323B1D1" w14:textId="77777777">
            <w:pPr>
              <w:spacing w:before="0" w:after="0"/>
              <w:jc w:val="right"/>
              <w:rPr>
                <w:sz w:val="22"/>
                <w:szCs w:val="22"/>
              </w:rPr>
            </w:pPr>
            <w:r w:rsidRPr="007E54DC">
              <w:rPr>
                <w:rFonts w:ascii="Calibri" w:hAnsi="Calibri" w:cs="Calibri"/>
                <w:color w:val="000000" w:themeColor="text1"/>
              </w:rPr>
              <w:t>£24.6m</w:t>
            </w:r>
          </w:p>
        </w:tc>
        <w:tc>
          <w:tcPr>
            <w:tcW w:w="1312" w:type="dxa"/>
            <w:shd w:val="clear" w:color="auto" w:fill="EFF6EA"/>
            <w:noWrap/>
            <w:vAlign w:val="bottom"/>
            <w:hideMark/>
          </w:tcPr>
          <w:p w:rsidRPr="007E54DC" w:rsidR="007E54DC" w:rsidP="000C3AF0" w:rsidRDefault="007E54DC" w14:paraId="7B69667B" w14:textId="77777777">
            <w:pPr>
              <w:spacing w:before="0" w:after="0"/>
              <w:jc w:val="right"/>
              <w:rPr>
                <w:sz w:val="22"/>
                <w:szCs w:val="22"/>
              </w:rPr>
            </w:pPr>
            <w:r w:rsidRPr="007E54DC">
              <w:rPr>
                <w:rFonts w:ascii="Calibri" w:hAnsi="Calibri" w:cs="Calibri"/>
                <w:color w:val="000000" w:themeColor="text1"/>
              </w:rPr>
              <w:t>£10.2m</w:t>
            </w:r>
          </w:p>
        </w:tc>
        <w:tc>
          <w:tcPr>
            <w:tcW w:w="1311" w:type="dxa"/>
            <w:shd w:val="clear" w:color="auto" w:fill="EFF6EA"/>
            <w:noWrap/>
            <w:vAlign w:val="bottom"/>
            <w:hideMark/>
          </w:tcPr>
          <w:p w:rsidRPr="007E54DC" w:rsidR="007E54DC" w:rsidP="000C3AF0" w:rsidRDefault="007E54DC" w14:paraId="158D686F" w14:textId="77777777">
            <w:pPr>
              <w:spacing w:before="0" w:after="0"/>
              <w:jc w:val="right"/>
              <w:rPr>
                <w:sz w:val="22"/>
                <w:szCs w:val="22"/>
              </w:rPr>
            </w:pPr>
            <w:r w:rsidRPr="007E54DC">
              <w:rPr>
                <w:rFonts w:ascii="Calibri" w:hAnsi="Calibri" w:cs="Calibri"/>
                <w:color w:val="000000" w:themeColor="text1"/>
              </w:rPr>
              <w:t>2.4</w:t>
            </w:r>
          </w:p>
        </w:tc>
        <w:tc>
          <w:tcPr>
            <w:tcW w:w="1314" w:type="dxa"/>
            <w:shd w:val="clear" w:color="auto" w:fill="EFF6EA"/>
            <w:noWrap/>
            <w:vAlign w:val="bottom"/>
            <w:hideMark/>
          </w:tcPr>
          <w:p w:rsidRPr="007E54DC" w:rsidR="007E54DC" w:rsidP="000C3AF0" w:rsidRDefault="007E54DC" w14:paraId="6CEC2597" w14:textId="77777777">
            <w:pPr>
              <w:spacing w:before="0" w:after="0"/>
              <w:jc w:val="right"/>
              <w:rPr>
                <w:sz w:val="22"/>
                <w:szCs w:val="22"/>
              </w:rPr>
            </w:pPr>
            <w:r w:rsidRPr="007E54DC">
              <w:rPr>
                <w:rFonts w:ascii="Calibri" w:hAnsi="Calibri" w:cs="Calibri"/>
                <w:color w:val="000000" w:themeColor="text1"/>
              </w:rPr>
              <w:t>£14.4m</w:t>
            </w:r>
          </w:p>
        </w:tc>
      </w:tr>
      <w:tr w:rsidRPr="007E54DC" w:rsidR="007E54DC" w:rsidTr="000C3AF0" w14:paraId="710F4D6E" w14:textId="77777777">
        <w:trPr>
          <w:trHeight w:val="68"/>
          <w:jc w:val="center"/>
        </w:trPr>
        <w:tc>
          <w:tcPr>
            <w:tcW w:w="9006" w:type="dxa"/>
            <w:gridSpan w:val="6"/>
          </w:tcPr>
          <w:p w:rsidRPr="007E54DC" w:rsidR="007E54DC" w:rsidP="000C3AF0" w:rsidRDefault="007E54DC" w14:paraId="36C6509C" w14:textId="77777777">
            <w:pPr>
              <w:spacing w:before="0" w:after="0"/>
              <w:rPr>
                <w:rFonts w:eastAsia="Times New Roman"/>
                <w:sz w:val="12"/>
                <w:szCs w:val="12"/>
              </w:rPr>
            </w:pPr>
          </w:p>
        </w:tc>
      </w:tr>
      <w:tr w:rsidRPr="007E54DC" w:rsidR="007E54DC" w:rsidTr="000C3AF0" w14:paraId="0C4C2004" w14:textId="77777777">
        <w:trPr>
          <w:trHeight w:val="267"/>
          <w:jc w:val="center"/>
        </w:trPr>
        <w:tc>
          <w:tcPr>
            <w:tcW w:w="1266" w:type="dxa"/>
            <w:shd w:val="clear" w:color="auto" w:fill="E2EFD9" w:themeFill="accent6" w:themeFillTint="33"/>
            <w:noWrap/>
          </w:tcPr>
          <w:p w:rsidRPr="007E54DC" w:rsidR="007E54DC" w:rsidP="000C3AF0" w:rsidRDefault="007E54DC" w14:paraId="731A7037" w14:textId="77777777">
            <w:pPr>
              <w:spacing w:before="0" w:after="0"/>
              <w:rPr>
                <w:b/>
                <w:bCs/>
                <w:sz w:val="22"/>
                <w:szCs w:val="22"/>
              </w:rPr>
            </w:pPr>
            <w:r w:rsidRPr="007E54DC">
              <w:rPr>
                <w:b/>
                <w:bCs/>
              </w:rPr>
              <w:t>Mean BCR</w:t>
            </w:r>
          </w:p>
        </w:tc>
        <w:tc>
          <w:tcPr>
            <w:tcW w:w="7740" w:type="dxa"/>
            <w:gridSpan w:val="5"/>
            <w:shd w:val="clear" w:color="auto" w:fill="E2EFD9" w:themeFill="accent6" w:themeFillTint="33"/>
          </w:tcPr>
          <w:p w:rsidRPr="007E54DC" w:rsidR="007E54DC" w:rsidP="000C3AF0" w:rsidRDefault="007E54DC" w14:paraId="584FE68A" w14:textId="77777777">
            <w:pPr>
              <w:spacing w:before="0" w:after="0"/>
              <w:jc w:val="center"/>
              <w:rPr>
                <w:b/>
                <w:bCs/>
                <w:sz w:val="22"/>
                <w:szCs w:val="22"/>
              </w:rPr>
            </w:pPr>
            <w:r w:rsidRPr="007E54DC">
              <w:rPr>
                <w:b/>
                <w:bCs/>
              </w:rPr>
              <w:t>4.1</w:t>
            </w:r>
          </w:p>
        </w:tc>
      </w:tr>
      <w:tr w:rsidRPr="007E54DC" w:rsidR="007E54DC" w:rsidTr="000C3AF0" w14:paraId="07012CA3" w14:textId="77777777">
        <w:trPr>
          <w:trHeight w:val="267"/>
          <w:jc w:val="center"/>
        </w:trPr>
        <w:tc>
          <w:tcPr>
            <w:tcW w:w="1266" w:type="dxa"/>
            <w:shd w:val="clear" w:color="auto" w:fill="E2EFD9" w:themeFill="accent6" w:themeFillTint="33"/>
            <w:noWrap/>
          </w:tcPr>
          <w:p w:rsidRPr="007E54DC" w:rsidR="007E54DC" w:rsidP="000C3AF0" w:rsidRDefault="007E54DC" w14:paraId="5F74F1CC" w14:textId="77777777">
            <w:pPr>
              <w:spacing w:before="0" w:after="0"/>
              <w:rPr>
                <w:b/>
                <w:bCs/>
                <w:sz w:val="22"/>
                <w:szCs w:val="22"/>
              </w:rPr>
            </w:pPr>
            <w:r w:rsidRPr="007E54DC">
              <w:rPr>
                <w:b/>
                <w:bCs/>
              </w:rPr>
              <w:t>Median BCR</w:t>
            </w:r>
          </w:p>
        </w:tc>
        <w:tc>
          <w:tcPr>
            <w:tcW w:w="7740" w:type="dxa"/>
            <w:gridSpan w:val="5"/>
            <w:shd w:val="clear" w:color="auto" w:fill="E2EFD9" w:themeFill="accent6" w:themeFillTint="33"/>
          </w:tcPr>
          <w:p w:rsidRPr="007E54DC" w:rsidR="007E54DC" w:rsidP="000C3AF0" w:rsidRDefault="007E54DC" w14:paraId="246D0FBB" w14:textId="77777777">
            <w:pPr>
              <w:spacing w:before="0" w:after="0"/>
              <w:jc w:val="center"/>
              <w:rPr>
                <w:b/>
                <w:bCs/>
                <w:sz w:val="22"/>
                <w:szCs w:val="22"/>
              </w:rPr>
            </w:pPr>
            <w:r w:rsidRPr="007E54DC">
              <w:rPr>
                <w:b/>
                <w:bCs/>
              </w:rPr>
              <w:t>2.0</w:t>
            </w:r>
          </w:p>
        </w:tc>
      </w:tr>
      <w:tr w:rsidRPr="007E54DC" w:rsidR="007E54DC" w:rsidTr="000C3AF0" w14:paraId="74551242" w14:textId="77777777">
        <w:trPr>
          <w:trHeight w:val="267"/>
          <w:jc w:val="center"/>
        </w:trPr>
        <w:tc>
          <w:tcPr>
            <w:tcW w:w="1266" w:type="dxa"/>
            <w:shd w:val="clear" w:color="auto" w:fill="E2EFD9" w:themeFill="accent6" w:themeFillTint="33"/>
            <w:noWrap/>
          </w:tcPr>
          <w:p w:rsidRPr="007E54DC" w:rsidR="007E54DC" w:rsidP="000C3AF0" w:rsidRDefault="007E54DC" w14:paraId="531A296D" w14:textId="77777777">
            <w:pPr>
              <w:spacing w:before="0" w:after="0"/>
              <w:rPr>
                <w:b/>
                <w:bCs/>
                <w:sz w:val="22"/>
                <w:szCs w:val="22"/>
              </w:rPr>
            </w:pPr>
            <w:r w:rsidRPr="007E54DC">
              <w:rPr>
                <w:b/>
                <w:bCs/>
              </w:rPr>
              <w:t>Total NPV</w:t>
            </w:r>
          </w:p>
        </w:tc>
        <w:tc>
          <w:tcPr>
            <w:tcW w:w="7740" w:type="dxa"/>
            <w:gridSpan w:val="5"/>
            <w:shd w:val="clear" w:color="auto" w:fill="E2EFD9" w:themeFill="accent6" w:themeFillTint="33"/>
          </w:tcPr>
          <w:p w:rsidRPr="007E54DC" w:rsidR="007E54DC" w:rsidP="000C3AF0" w:rsidRDefault="007E54DC" w14:paraId="2DB42DFD" w14:textId="77777777">
            <w:pPr>
              <w:keepNext/>
              <w:spacing w:before="0" w:after="0"/>
              <w:jc w:val="center"/>
              <w:rPr>
                <w:b/>
                <w:bCs/>
                <w:sz w:val="22"/>
                <w:szCs w:val="22"/>
              </w:rPr>
            </w:pPr>
            <w:r w:rsidRPr="007E54DC">
              <w:rPr>
                <w:b/>
                <w:bCs/>
              </w:rPr>
              <w:t>£60m</w:t>
            </w:r>
          </w:p>
        </w:tc>
      </w:tr>
    </w:tbl>
    <w:p w:rsidRPr="007E54DC" w:rsidR="00973FEF" w:rsidRDefault="00973FEF" w14:paraId="4E6AE84B" w14:textId="6F8AB317">
      <w:pPr>
        <w:pStyle w:val="Caption"/>
      </w:pPr>
      <w:bookmarkStart w:name="_Benefits" w:id="26"/>
      <w:bookmarkStart w:name="_Toc132104915" w:id="27"/>
      <w:bookmarkEnd w:id="26"/>
      <w:r w:rsidRPr="007E54DC">
        <w:t xml:space="preserve">Table </w:t>
      </w:r>
      <w:r w:rsidRPr="007E54DC">
        <w:fldChar w:fldCharType="begin"/>
      </w:r>
      <w:r w:rsidRPr="007E54DC">
        <w:instrText>SEQ Table \* ARABIC</w:instrText>
      </w:r>
      <w:r w:rsidRPr="007E54DC">
        <w:fldChar w:fldCharType="separate"/>
      </w:r>
      <w:r w:rsidR="00B9356F">
        <w:rPr>
          <w:noProof/>
        </w:rPr>
        <w:t>5</w:t>
      </w:r>
      <w:r w:rsidRPr="007E54DC">
        <w:fldChar w:fldCharType="end"/>
      </w:r>
      <w:r w:rsidRPr="007E54DC">
        <w:t xml:space="preserve"> </w:t>
      </w:r>
      <w:r w:rsidRPr="007E54DC" w:rsidR="002D597C">
        <w:t>-</w:t>
      </w:r>
      <w:r w:rsidRPr="007E54DC" w:rsidR="002D597C">
        <w:rPr>
          <w:noProof/>
        </w:rPr>
        <w:t xml:space="preserve"> Summary</w:t>
      </w:r>
      <w:r w:rsidRPr="007E54DC">
        <w:rPr>
          <w:noProof/>
        </w:rPr>
        <w:t xml:space="preserve"> of Project GFCR Costs and Benefits</w:t>
      </w:r>
      <w:bookmarkEnd w:id="27"/>
    </w:p>
    <w:p w:rsidRPr="007E54DC" w:rsidR="00D15D16" w:rsidP="006E055F" w:rsidRDefault="00D15D16" w14:paraId="64DAA15B" w14:textId="77777777" w14:noSpellErr="1">
      <w:pPr>
        <w:pStyle w:val="Heading3"/>
        <w:rPr/>
      </w:pPr>
      <w:bookmarkStart w:name="_Toc929603109" w:id="1784991424"/>
      <w:r w:rsidR="00D15D16">
        <w:rPr/>
        <w:t>Benefits</w:t>
      </w:r>
      <w:bookmarkEnd w:id="1784991424"/>
    </w:p>
    <w:p w:rsidRPr="007E54DC" w:rsidR="00D15D16" w:rsidP="006628DE" w:rsidRDefault="00D15D16" w14:paraId="326CFAB9" w14:textId="53DC81E3">
      <w:pPr>
        <w:pStyle w:val="ListParagraph"/>
        <w:numPr>
          <w:ilvl w:val="0"/>
          <w:numId w:val="14"/>
        </w:numPr>
        <w:spacing w:after="0"/>
        <w:contextualSpacing w:val="0"/>
        <w:rPr>
          <w:rFonts w:eastAsia="Times New Roman"/>
        </w:rPr>
      </w:pPr>
      <w:r w:rsidRPr="007E54DC">
        <w:rPr>
          <w:rFonts w:eastAsia="Times New Roman"/>
        </w:rPr>
        <w:t xml:space="preserve">The largest proportion of quantified benefits assessed are through the </w:t>
      </w:r>
      <w:r w:rsidRPr="007E54DC" w:rsidR="000D55A3">
        <w:rPr>
          <w:rFonts w:eastAsia="Times New Roman"/>
        </w:rPr>
        <w:t xml:space="preserve">avoided loss of ecosystems and their associated benefits. </w:t>
      </w:r>
      <w:r w:rsidRPr="007E54DC">
        <w:rPr>
          <w:rFonts w:eastAsia="Times New Roman"/>
        </w:rPr>
        <w:t xml:space="preserve">Positive coral, </w:t>
      </w:r>
      <w:r w:rsidRPr="007E54DC" w:rsidR="002D597C">
        <w:rPr>
          <w:rFonts w:eastAsia="Times New Roman"/>
        </w:rPr>
        <w:t>mangrove,</w:t>
      </w:r>
      <w:r w:rsidRPr="007E54DC">
        <w:rPr>
          <w:rFonts w:eastAsia="Times New Roman"/>
        </w:rPr>
        <w:t xml:space="preserve"> and seagrass impacts account for 41% of the overall benefits across the 6 projects. </w:t>
      </w:r>
      <w:r w:rsidRPr="007E54DC" w:rsidR="00C903FF">
        <w:rPr>
          <w:rFonts w:eastAsia="Times New Roman"/>
        </w:rPr>
        <w:t>Benefits to e</w:t>
      </w:r>
      <w:r w:rsidRPr="007E54DC" w:rsidR="006B4B65">
        <w:rPr>
          <w:rFonts w:eastAsia="Times New Roman"/>
        </w:rPr>
        <w:t xml:space="preserve">cosystem services </w:t>
      </w:r>
      <w:r w:rsidRPr="007E54DC" w:rsidR="00C903FF">
        <w:rPr>
          <w:rFonts w:eastAsia="Times New Roman"/>
        </w:rPr>
        <w:t xml:space="preserve">include </w:t>
      </w:r>
      <w:r w:rsidRPr="007E54DC" w:rsidR="006B4B65">
        <w:rPr>
          <w:rFonts w:eastAsia="Times New Roman"/>
        </w:rPr>
        <w:t>increasing genetic diversity, prevent</w:t>
      </w:r>
      <w:r w:rsidRPr="007E54DC" w:rsidR="00C903FF">
        <w:rPr>
          <w:rFonts w:eastAsia="Times New Roman"/>
        </w:rPr>
        <w:t>ing</w:t>
      </w:r>
      <w:r w:rsidRPr="007E54DC" w:rsidR="006B4B65">
        <w:rPr>
          <w:rFonts w:eastAsia="Times New Roman"/>
        </w:rPr>
        <w:t xml:space="preserve"> </w:t>
      </w:r>
      <w:r w:rsidRPr="007E54DC" w:rsidR="00C903FF">
        <w:rPr>
          <w:rFonts w:eastAsia="Times New Roman"/>
        </w:rPr>
        <w:t>species extinction and</w:t>
      </w:r>
      <w:r w:rsidRPr="007E54DC" w:rsidR="006B4B65">
        <w:rPr>
          <w:rFonts w:eastAsia="Times New Roman"/>
        </w:rPr>
        <w:t xml:space="preserve"> </w:t>
      </w:r>
      <w:r w:rsidRPr="007E54DC" w:rsidR="00C903FF">
        <w:rPr>
          <w:rFonts w:eastAsia="Times New Roman"/>
        </w:rPr>
        <w:t>protecting migration</w:t>
      </w:r>
      <w:r w:rsidRPr="007E54DC" w:rsidR="006B4B65">
        <w:rPr>
          <w:rFonts w:eastAsia="Times New Roman"/>
        </w:rPr>
        <w:t xml:space="preserve"> </w:t>
      </w:r>
      <w:r w:rsidRPr="007E54DC" w:rsidR="00C903FF">
        <w:rPr>
          <w:rFonts w:eastAsia="Times New Roman"/>
        </w:rPr>
        <w:t>pathways.</w:t>
      </w:r>
    </w:p>
    <w:p w:rsidRPr="007E54DC" w:rsidR="00D15D16" w:rsidP="006628DE" w:rsidRDefault="00D15D16" w14:paraId="19DB5CCE" w14:textId="77777777">
      <w:pPr>
        <w:pStyle w:val="ListParagraph"/>
        <w:numPr>
          <w:ilvl w:val="0"/>
          <w:numId w:val="14"/>
        </w:numPr>
        <w:spacing w:after="0"/>
        <w:contextualSpacing w:val="0"/>
        <w:rPr>
          <w:rFonts w:eastAsia="Times New Roman"/>
        </w:rPr>
      </w:pPr>
      <w:r w:rsidRPr="007E54DC">
        <w:rPr>
          <w:rFonts w:eastAsia="Times New Roman"/>
        </w:rPr>
        <w:t>There are also associated carbon emission reductions through the reduced loss of sequestering ecosystems such as mangroves and seagrass. This accounts for 38% of the benefits identified across the projects.</w:t>
      </w:r>
    </w:p>
    <w:p w:rsidRPr="007E54DC" w:rsidR="00D15D16" w:rsidP="006628DE" w:rsidRDefault="00D15D16" w14:paraId="0F841D43" w14:textId="77777777">
      <w:pPr>
        <w:pStyle w:val="ListParagraph"/>
        <w:numPr>
          <w:ilvl w:val="0"/>
          <w:numId w:val="14"/>
        </w:numPr>
        <w:spacing w:after="240"/>
        <w:contextualSpacing w:val="0"/>
        <w:rPr>
          <w:rFonts w:eastAsia="Times New Roman"/>
        </w:rPr>
      </w:pPr>
      <w:r w:rsidRPr="007E54DC">
        <w:rPr>
          <w:rFonts w:eastAsia="Times New Roman"/>
        </w:rPr>
        <w:t xml:space="preserve">The benefit of new jobs has also been included, which account for 20% of benefits. </w:t>
      </w:r>
    </w:p>
    <w:p w:rsidRPr="007E54DC" w:rsidR="00D15D16" w:rsidP="00D15D16" w:rsidRDefault="00D15D16" w14:paraId="5A633F52" w14:textId="0270E10C">
      <w:r w:rsidRPr="007E54DC">
        <w:t>These estimates are considered partial as they do not include the potentially significant non-monetised benefits to local tourism and incomes</w:t>
      </w:r>
      <w:r w:rsidRPr="007E54DC" w:rsidR="0058629E">
        <w:t>,</w:t>
      </w:r>
      <w:r w:rsidRPr="007E54DC">
        <w:t xml:space="preserve"> and</w:t>
      </w:r>
      <w:r w:rsidRPr="007E54DC" w:rsidR="00A50E73">
        <w:t xml:space="preserve"> full impacts have not yet been estimated across </w:t>
      </w:r>
      <w:r w:rsidRPr="007E54DC" w:rsidR="00A50E73">
        <w:t>all projects. O</w:t>
      </w:r>
      <w:r w:rsidRPr="007E54DC">
        <w:t xml:space="preserve">ptimism bias and additionality </w:t>
      </w:r>
      <w:r w:rsidRPr="007E54DC" w:rsidR="00C41403">
        <w:t xml:space="preserve">assumptions have been applied </w:t>
      </w:r>
      <w:r w:rsidRPr="007E54DC">
        <w:t>to control for the estimates being based off GFCR targets.  </w:t>
      </w:r>
    </w:p>
    <w:p w:rsidRPr="007E54DC" w:rsidR="00D15D16" w:rsidP="00D15D16" w:rsidRDefault="00D15D16" w14:paraId="2C811E88" w14:textId="6C623D00">
      <w:r w:rsidRPr="007E54DC">
        <w:t>The full appraisal approach</w:t>
      </w:r>
      <w:r w:rsidRPr="007E54DC" w:rsidR="006018DC">
        <w:t>, and assessment of benefits</w:t>
      </w:r>
      <w:r w:rsidRPr="007E54DC">
        <w:t xml:space="preserve"> is set out within the business case which went through the full governance and clearance processes in May 2021, and updates to this detailed in </w:t>
      </w:r>
      <w:hyperlink w:history="1" w:anchor="_Annex_F_–">
        <w:r w:rsidRPr="007E54DC" w:rsidR="009E4227">
          <w:rPr>
            <w:rStyle w:val="Hyperlink"/>
          </w:rPr>
          <w:t xml:space="preserve">Annex </w:t>
        </w:r>
      </w:hyperlink>
      <w:r w:rsidRPr="007E54DC" w:rsidR="006E0401">
        <w:rPr>
          <w:rStyle w:val="Hyperlink"/>
        </w:rPr>
        <w:t>E</w:t>
      </w:r>
      <w:r w:rsidRPr="007E54DC" w:rsidR="009E4227">
        <w:t xml:space="preserve"> (attached separately)</w:t>
      </w:r>
    </w:p>
    <w:p w:rsidRPr="007E54DC" w:rsidR="00D15D16" w:rsidP="006E055F" w:rsidRDefault="00D15D16" w14:paraId="707D16E7" w14:textId="77777777" w14:noSpellErr="1">
      <w:pPr>
        <w:pStyle w:val="Heading3"/>
        <w:rPr/>
      </w:pPr>
      <w:bookmarkStart w:name="_Toc1901281624" w:id="284116760"/>
      <w:r w:rsidR="00D15D16">
        <w:rPr/>
        <w:t>Value for Money</w:t>
      </w:r>
      <w:bookmarkEnd w:id="284116760"/>
    </w:p>
    <w:p w:rsidRPr="007E54DC" w:rsidR="00D15D16" w:rsidP="00D15D16" w:rsidRDefault="00D15D16" w14:paraId="09E49169" w14:textId="687EFE29">
      <w:r w:rsidRPr="007E54DC">
        <w:t>While these projects are not necessarily representative of the whole GFCR programme and the impact of the UK’s funding, they do provide an indication that the approach and type of projects the GFCR is targeting are likely to</w:t>
      </w:r>
      <w:r w:rsidRPr="007E54DC" w:rsidR="007E54DC">
        <w:t xml:space="preserve"> represent good </w:t>
      </w:r>
      <w:proofErr w:type="spellStart"/>
      <w:r w:rsidRPr="007E54DC" w:rsidR="007E54DC">
        <w:t>VfM</w:t>
      </w:r>
      <w:proofErr w:type="spellEnd"/>
      <w:r w:rsidRPr="007E54DC" w:rsidR="007E54DC">
        <w:t xml:space="preserve"> across the portfolio of investments (where costs and benefits and </w:t>
      </w:r>
      <w:proofErr w:type="spellStart"/>
      <w:r w:rsidRPr="007E54DC" w:rsidR="007E54DC">
        <w:t>VfM</w:t>
      </w:r>
      <w:proofErr w:type="spellEnd"/>
      <w:r w:rsidRPr="007E54DC" w:rsidR="007E54DC">
        <w:t xml:space="preserve"> varies by country/projects).</w:t>
      </w:r>
    </w:p>
    <w:p w:rsidRPr="007E54DC" w:rsidR="007E54DC" w:rsidP="007E54DC" w:rsidRDefault="007E54DC" w14:paraId="0955989F" w14:textId="77777777">
      <w:pPr>
        <w:rPr>
          <w:rFonts w:ascii="Arial" w:hAnsi="Arial" w:eastAsia="Arial" w:cs="Arial"/>
        </w:rPr>
      </w:pPr>
      <w:r w:rsidRPr="007E54DC">
        <w:t xml:space="preserve">The indicative portfolio based on case studies assessed are estimated to deliver a </w:t>
      </w:r>
      <w:r w:rsidRPr="007E54DC">
        <w:rPr>
          <w:b/>
          <w:bCs/>
        </w:rPr>
        <w:t>mean BCR of 4.1</w:t>
      </w:r>
      <w:r w:rsidRPr="007E54DC">
        <w:t xml:space="preserve">, incurring benefits to society significantly above the costs.  </w:t>
      </w:r>
      <w:r w:rsidRPr="007E54DC">
        <w:rPr>
          <w:rFonts w:eastAsia="Arial" w:cstheme="minorHAnsi"/>
        </w:rPr>
        <w:t xml:space="preserve"> This estimate falls within the mid-range of expected BCRs for other BPF programmes (Annex F).</w:t>
      </w:r>
    </w:p>
    <w:p w:rsidRPr="007E54DC" w:rsidR="00D15D16" w:rsidRDefault="00D15D16" w14:paraId="7582A689" w14:textId="62C8544E">
      <w:r w:rsidRPr="007E54DC">
        <w:t xml:space="preserve"> Sensitivity tests have been conducted in </w:t>
      </w:r>
      <w:hyperlink w:anchor="_Annex_F_–">
        <w:r w:rsidRPr="007E54DC" w:rsidR="009E4227">
          <w:rPr>
            <w:rStyle w:val="Hyperlink"/>
          </w:rPr>
          <w:t xml:space="preserve">Annex </w:t>
        </w:r>
        <w:r w:rsidRPr="007E54DC" w:rsidR="006E0401">
          <w:rPr>
            <w:rStyle w:val="Hyperlink"/>
          </w:rPr>
          <w:t>E</w:t>
        </w:r>
      </w:hyperlink>
      <w:r w:rsidRPr="007E54DC" w:rsidR="009E4227">
        <w:t xml:space="preserve"> (attached separately) </w:t>
      </w:r>
      <w:r w:rsidRPr="007E54DC">
        <w:t xml:space="preserve">to assess the robustness of these value for money estimates. They indicate that even if the projects fail to deliver fully on some outcomes, they </w:t>
      </w:r>
      <w:r w:rsidRPr="007E54DC" w:rsidR="009069BC">
        <w:t>will</w:t>
      </w:r>
      <w:r w:rsidRPr="007E54DC">
        <w:t xml:space="preserve"> still likely deliver value for money.</w:t>
      </w:r>
      <w:r w:rsidRPr="007E54DC" w:rsidR="006A19D6">
        <w:t xml:space="preserve"> </w:t>
      </w:r>
      <w:r w:rsidRPr="007E54DC" w:rsidR="007E54DC">
        <w:t xml:space="preserve"> The sensitivity analysis demonstrates that across the portfolio, if only ecosystem service benefits are included, an optimism bias of 65% would be needed to reduce the mean BCR to 1. This would represent a scenario where the only realised benefits of the portfolio were 35% of the monetised ecosystem services. We assess that this is unlikely, given the design of projects to achieve employment and carbon benefits, plus the partial nature of the ecosystem service monetisation. </w:t>
      </w:r>
      <w:r w:rsidRPr="007E54DC" w:rsidR="006A19D6">
        <w:t xml:space="preserve">The recent annual review also confirmed that the potential value for money of the fund was </w:t>
      </w:r>
      <w:proofErr w:type="gramStart"/>
      <w:r w:rsidRPr="007E54DC" w:rsidR="006A19D6">
        <w:t>good</w:t>
      </w:r>
      <w:proofErr w:type="gramEnd"/>
      <w:r w:rsidRPr="007E54DC" w:rsidR="006A19D6">
        <w:t xml:space="preserve"> and the programme was rated A.</w:t>
      </w:r>
    </w:p>
    <w:p w:rsidRPr="007E54DC" w:rsidR="00ED7992" w:rsidP="00ED7992" w:rsidRDefault="3E0EEA94" w14:paraId="5A11D590" w14:textId="15E4CA32">
      <w:pPr>
        <w:spacing w:after="0" w:line="240" w:lineRule="auto"/>
        <w:textAlignment w:val="baseline"/>
        <w:rPr>
          <w:rFonts w:ascii="Segoe UI" w:hAnsi="Segoe UI" w:eastAsia="Times New Roman" w:cs="Segoe UI"/>
          <w:sz w:val="18"/>
          <w:szCs w:val="18"/>
          <w:lang w:eastAsia="en-GB"/>
        </w:rPr>
      </w:pPr>
      <w:r w:rsidRPr="007E54DC">
        <w:rPr>
          <w:rFonts w:ascii="Calibri" w:hAnsi="Calibri" w:eastAsia="Times New Roman" w:cs="Calibri"/>
          <w:lang w:eastAsia="en-GB"/>
        </w:rPr>
        <w:t xml:space="preserve">Fluctuating exchange </w:t>
      </w:r>
      <w:r w:rsidRPr="007E54DC" w:rsidR="6BFDED3E">
        <w:rPr>
          <w:rFonts w:ascii="Calibri" w:hAnsi="Calibri" w:eastAsia="Times New Roman" w:cs="Calibri"/>
          <w:lang w:eastAsia="en-GB"/>
        </w:rPr>
        <w:t>rates and increasing inflation both</w:t>
      </w:r>
      <w:r w:rsidRPr="007E54DC">
        <w:rPr>
          <w:rFonts w:ascii="Calibri" w:hAnsi="Calibri" w:eastAsia="Times New Roman" w:cs="Calibri"/>
          <w:lang w:eastAsia="en-GB"/>
        </w:rPr>
        <w:t xml:space="preserve"> have the potential to affect the affordability of programme inputs and consequently overall </w:t>
      </w:r>
      <w:proofErr w:type="spellStart"/>
      <w:r w:rsidRPr="007E54DC">
        <w:rPr>
          <w:rFonts w:ascii="Calibri" w:hAnsi="Calibri" w:eastAsia="Times New Roman" w:cs="Calibri"/>
          <w:lang w:eastAsia="en-GB"/>
        </w:rPr>
        <w:t>VfM</w:t>
      </w:r>
      <w:proofErr w:type="spellEnd"/>
      <w:r w:rsidRPr="007E54DC">
        <w:rPr>
          <w:rFonts w:ascii="Calibri" w:hAnsi="Calibri" w:eastAsia="Times New Roman" w:cs="Calibri"/>
          <w:lang w:eastAsia="en-GB"/>
        </w:rPr>
        <w:t xml:space="preserve">.  The BCR in the </w:t>
      </w:r>
      <w:r w:rsidRPr="007E54DC" w:rsidR="4AAFE30E">
        <w:rPr>
          <w:rFonts w:ascii="Calibri" w:hAnsi="Calibri" w:eastAsia="Times New Roman" w:cs="Calibri"/>
          <w:lang w:eastAsia="en-GB"/>
        </w:rPr>
        <w:t xml:space="preserve">most recent addendum </w:t>
      </w:r>
      <w:r w:rsidRPr="007E54DC">
        <w:rPr>
          <w:rFonts w:ascii="Calibri" w:hAnsi="Calibri" w:eastAsia="Times New Roman" w:cs="Calibri"/>
          <w:lang w:eastAsia="en-GB"/>
        </w:rPr>
        <w:t>was calculated using an exchange rate of £1=$1.20, meaning the UK contribution of £9m has a dollar value of $10.8m</w:t>
      </w:r>
      <w:r w:rsidRPr="007E54DC" w:rsidR="00C02880">
        <w:rPr>
          <w:rStyle w:val="FootnoteReference"/>
          <w:rFonts w:ascii="Calibri" w:hAnsi="Calibri" w:eastAsia="Times New Roman" w:cs="Calibri"/>
          <w:lang w:eastAsia="en-GB"/>
        </w:rPr>
        <w:footnoteReference w:id="22"/>
      </w:r>
      <w:r w:rsidRPr="007E54DC">
        <w:rPr>
          <w:rFonts w:ascii="Calibri" w:hAnsi="Calibri" w:eastAsia="Times New Roman" w:cs="Calibri"/>
          <w:lang w:eastAsia="en-GB"/>
        </w:rPr>
        <w:t xml:space="preserve">. Using the lowest daily exchange rate from 2022 of £1=$1.07, the dollar value of the contribution falls to £9.63m despite having no impact on costs in pound terms. This may affect the ability of the Fund to deliver project outcomes and should be monitored in future annual reviews, however there is no evidence to suggest that outcome delivery has been affected by exchange rate fluctuations during the Year 1 </w:t>
      </w:r>
      <w:r w:rsidRPr="007E54DC" w:rsidR="626B318D">
        <w:rPr>
          <w:rFonts w:ascii="Calibri" w:hAnsi="Calibri" w:eastAsia="Times New Roman" w:cs="Calibri"/>
          <w:lang w:eastAsia="en-GB"/>
        </w:rPr>
        <w:t>review period</w:t>
      </w:r>
      <w:r w:rsidRPr="007E54DC">
        <w:rPr>
          <w:rFonts w:ascii="Calibri" w:hAnsi="Calibri" w:eastAsia="Times New Roman" w:cs="Calibri"/>
          <w:lang w:eastAsia="en-GB"/>
        </w:rPr>
        <w:t>.</w:t>
      </w:r>
      <w:r w:rsidRPr="007E54DC" w:rsidR="6BFDED3E">
        <w:rPr>
          <w:rFonts w:ascii="Calibri" w:hAnsi="Calibri" w:eastAsia="Times New Roman" w:cs="Calibri"/>
          <w:lang w:eastAsia="en-GB"/>
        </w:rPr>
        <w:t xml:space="preserve"> The UK/US exchange rate has also now recovered above the £1=$1.22 mark, increasing the USD equivalent contribution.</w:t>
      </w:r>
      <w:r w:rsidRPr="007E54DC">
        <w:rPr>
          <w:rFonts w:ascii="Calibri" w:hAnsi="Calibri" w:eastAsia="Times New Roman" w:cs="Calibri"/>
          <w:lang w:eastAsia="en-GB"/>
        </w:rPr>
        <w:t xml:space="preserve"> Additionally, other funding sources provided in USD will not be affected by changes in exchange rates. The BCR and </w:t>
      </w:r>
      <w:proofErr w:type="spellStart"/>
      <w:r w:rsidRPr="007E54DC">
        <w:rPr>
          <w:rFonts w:ascii="Calibri" w:hAnsi="Calibri" w:eastAsia="Times New Roman" w:cs="Calibri"/>
          <w:lang w:eastAsia="en-GB"/>
        </w:rPr>
        <w:t>VfM</w:t>
      </w:r>
      <w:proofErr w:type="spellEnd"/>
      <w:r w:rsidRPr="007E54DC">
        <w:rPr>
          <w:rFonts w:ascii="Calibri" w:hAnsi="Calibri" w:eastAsia="Times New Roman" w:cs="Calibri"/>
          <w:lang w:eastAsia="en-GB"/>
        </w:rPr>
        <w:t xml:space="preserve"> conclusions also remain robust to changes in inflation. The BCR calculated in the original business case would require an annual compound inflation rate of 10% for 12 years for the median BCR to fall below 1, above</w:t>
      </w:r>
      <w:r w:rsidRPr="007E54DC" w:rsidR="6BFDED3E">
        <w:rPr>
          <w:rFonts w:ascii="Calibri" w:hAnsi="Calibri" w:eastAsia="Times New Roman" w:cs="Calibri"/>
          <w:lang w:eastAsia="en-GB"/>
        </w:rPr>
        <w:t xml:space="preserve"> </w:t>
      </w:r>
      <w:r w:rsidRPr="007E54DC">
        <w:rPr>
          <w:rFonts w:ascii="Calibri" w:hAnsi="Calibri" w:eastAsia="Times New Roman" w:cs="Calibri"/>
          <w:lang w:eastAsia="en-GB"/>
        </w:rPr>
        <w:t xml:space="preserve">recent inflation rates for all countries as shown in the </w:t>
      </w:r>
      <w:r w:rsidRPr="007E54DC" w:rsidR="296D69AF">
        <w:rPr>
          <w:rFonts w:ascii="Calibri" w:hAnsi="Calibri" w:eastAsia="Times New Roman" w:cs="Calibri"/>
          <w:lang w:eastAsia="en-GB"/>
        </w:rPr>
        <w:t>T</w:t>
      </w:r>
      <w:r w:rsidRPr="007E54DC">
        <w:rPr>
          <w:rFonts w:ascii="Calibri" w:hAnsi="Calibri" w:eastAsia="Times New Roman" w:cs="Calibri"/>
          <w:lang w:eastAsia="en-GB"/>
        </w:rPr>
        <w:t xml:space="preserve">able </w:t>
      </w:r>
      <w:r w:rsidRPr="007E54DC" w:rsidR="296D69AF">
        <w:rPr>
          <w:rFonts w:ascii="Calibri" w:hAnsi="Calibri" w:eastAsia="Times New Roman" w:cs="Calibri"/>
          <w:lang w:eastAsia="en-GB"/>
        </w:rPr>
        <w:t>6</w:t>
      </w:r>
      <w:r w:rsidRPr="007E54DC" w:rsidR="626B318D">
        <w:rPr>
          <w:rFonts w:ascii="Calibri" w:hAnsi="Calibri" w:eastAsia="Times New Roman" w:cs="Calibri"/>
          <w:lang w:eastAsia="en-GB"/>
        </w:rPr>
        <w:t>.</w:t>
      </w:r>
      <w:r w:rsidRPr="007E54DC">
        <w:rPr>
          <w:rFonts w:ascii="Calibri" w:hAnsi="Calibri" w:eastAsia="Times New Roman" w:cs="Calibri"/>
          <w:lang w:eastAsia="en-GB"/>
        </w:rPr>
        <w:t>  </w:t>
      </w:r>
    </w:p>
    <w:p w:rsidRPr="007E54DC" w:rsidR="00ED7992" w:rsidP="00ED7992" w:rsidRDefault="00ED7992" w14:paraId="793AE614" w14:textId="77777777">
      <w:pPr>
        <w:spacing w:after="0" w:line="240" w:lineRule="auto"/>
        <w:textAlignment w:val="baseline"/>
        <w:rPr>
          <w:rFonts w:ascii="Segoe UI" w:hAnsi="Segoe UI" w:eastAsia="Times New Roman" w:cs="Segoe UI"/>
          <w:sz w:val="18"/>
          <w:szCs w:val="18"/>
          <w:lang w:eastAsia="en-GB"/>
        </w:rPr>
      </w:pPr>
      <w:r w:rsidRPr="007E54DC">
        <w:rPr>
          <w:rFonts w:ascii="Calibri" w:hAnsi="Calibri" w:eastAsia="Times New Roman" w:cs="Calibri"/>
          <w:lang w:eastAsia="en-GB"/>
        </w:rPr>
        <w:t> </w:t>
      </w:r>
    </w:p>
    <w:tbl>
      <w:tblPr>
        <w:tblW w:w="0"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80"/>
        <w:gridCol w:w="1830"/>
        <w:gridCol w:w="1695"/>
      </w:tblGrid>
      <w:tr w:rsidRPr="007E54DC" w:rsidR="00ED7992" w:rsidTr="00E63F2E" w14:paraId="06AC597C"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63997544"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A</w:t>
            </w:r>
            <w:r w:rsidRPr="007E54DC">
              <w:rPr>
                <w:rFonts w:ascii="Calibri" w:hAnsi="Calibri" w:eastAsia="Times New Roman" w:cs="Calibri"/>
                <w:b/>
                <w:bCs/>
                <w:sz w:val="20"/>
                <w:szCs w:val="20"/>
                <w:lang w:eastAsia="en-GB"/>
              </w:rPr>
              <w:t>nnual inflation</w:t>
            </w:r>
            <w:r w:rsidRPr="007E54DC">
              <w:rPr>
                <w:rFonts w:ascii="Calibri" w:hAnsi="Calibri" w:eastAsia="Times New Roman" w:cs="Calibri"/>
                <w:sz w:val="20"/>
                <w:szCs w:val="20"/>
                <w:lang w:eastAsia="en-GB"/>
              </w:rPr>
              <w:t> </w:t>
            </w:r>
          </w:p>
          <w:p w:rsidRPr="007E54DC" w:rsidR="00ED7992" w:rsidP="00ED7992" w:rsidRDefault="00ED7992" w14:paraId="1134900B"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sz w:val="20"/>
                <w:szCs w:val="20"/>
                <w:lang w:eastAsia="en-GB"/>
              </w:rPr>
              <w:t>(CPI)</w:t>
            </w:r>
            <w:r w:rsidRPr="007E54DC">
              <w:rPr>
                <w:rFonts w:ascii="Calibri" w:hAnsi="Calibri" w:eastAsia="Times New Roman" w:cs="Calibri"/>
                <w:sz w:val="20"/>
                <w:szCs w:val="20"/>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28869D69"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 Most recent</w:t>
            </w:r>
            <w:r w:rsidRPr="007E54DC">
              <w:rPr>
                <w:rFonts w:ascii="Calibri" w:hAnsi="Calibri" w:eastAsia="Times New Roman" w:cs="Calibri"/>
                <w:lang w:eastAsia="en-GB"/>
              </w:rPr>
              <w:t> </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4F518D73"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Previous</w:t>
            </w:r>
            <w:r w:rsidRPr="007E54DC">
              <w:rPr>
                <w:rFonts w:ascii="Calibri" w:hAnsi="Calibri" w:eastAsia="Times New Roman" w:cs="Calibri"/>
                <w:lang w:eastAsia="en-GB"/>
              </w:rPr>
              <w:t> </w:t>
            </w:r>
          </w:p>
        </w:tc>
      </w:tr>
      <w:tr w:rsidRPr="007E54DC" w:rsidR="00ED7992" w:rsidTr="00E63F2E" w14:paraId="1A7C0C46"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1CF1A252"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7CECE712" w14:textId="023D4801">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October 22</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2769A217" w14:textId="03FFFABA">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September 22</w:t>
            </w:r>
          </w:p>
        </w:tc>
      </w:tr>
      <w:tr w:rsidRPr="007E54DC" w:rsidR="00ED7992" w:rsidTr="00E63F2E" w14:paraId="4CEA85D8"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23EF8A96"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Fiji</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37A455F7" w14:textId="0E425312">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5.4</w:t>
            </w:r>
          </w:p>
        </w:tc>
        <w:tc>
          <w:tcPr>
            <w:tcW w:w="169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3682A46C" w14:textId="21798511">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5.1</w:t>
            </w:r>
          </w:p>
        </w:tc>
      </w:tr>
      <w:tr w:rsidRPr="007E54DC" w:rsidR="00ED7992" w:rsidTr="00E63F2E" w14:paraId="3E2C63F9"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5C1D9BAA"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Philippines</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76E9ADAF" w14:textId="4DF295DC">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7.7</w:t>
            </w:r>
          </w:p>
        </w:tc>
        <w:tc>
          <w:tcPr>
            <w:tcW w:w="169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7DB9061C" w14:textId="6E6BEF59">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6.9</w:t>
            </w:r>
          </w:p>
        </w:tc>
      </w:tr>
      <w:tr w:rsidRPr="007E54DC" w:rsidR="00ED7992" w:rsidTr="00E63F2E" w14:paraId="3ACA4EFD"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48040E6A"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Kenya</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5EA9D2DF" w14:textId="3DCA2A5C">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9.6</w:t>
            </w:r>
          </w:p>
        </w:tc>
        <w:tc>
          <w:tcPr>
            <w:tcW w:w="169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340B911A" w14:textId="0FC7DD2C">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9.2</w:t>
            </w:r>
          </w:p>
        </w:tc>
      </w:tr>
      <w:tr w:rsidRPr="007E54DC" w:rsidR="00ED7992" w:rsidTr="00E63F2E" w14:paraId="7724E3C2"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7E4510C1"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Tanzania</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3AA0BBF1" w14:textId="017C9AFC">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4.9</w:t>
            </w:r>
          </w:p>
        </w:tc>
        <w:tc>
          <w:tcPr>
            <w:tcW w:w="169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4356E1E5" w14:textId="2452594A">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4.8</w:t>
            </w:r>
          </w:p>
        </w:tc>
      </w:tr>
      <w:tr w:rsidRPr="007E54DC" w:rsidR="00ED7992" w:rsidTr="00E63F2E" w14:paraId="78476B15"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5D4273F3"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Indonesia</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59670F76" w14:textId="06383804">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5.7</w:t>
            </w:r>
          </w:p>
        </w:tc>
        <w:tc>
          <w:tcPr>
            <w:tcW w:w="169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61C90811" w14:textId="35C99F0C">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6.0</w:t>
            </w:r>
          </w:p>
        </w:tc>
      </w:tr>
      <w:tr w:rsidRPr="007E54DC" w:rsidR="00ED7992" w:rsidTr="00E63F2E" w14:paraId="0DC1DAEB"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66E40EF2"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561E3FBE" w14:textId="12E76A4A">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Q2 2022</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61803017" w14:textId="52E54949">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Q1 2022</w:t>
            </w:r>
          </w:p>
        </w:tc>
      </w:tr>
      <w:tr w:rsidRPr="007E54DC" w:rsidR="00ED7992" w:rsidTr="00E63F2E" w14:paraId="3B0FFECF"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60F826D0"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Papua New Guinea</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2AF5D14E" w14:textId="41395C65">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5.5</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336B6BB6" w14:textId="509A7797">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6.9</w:t>
            </w:r>
          </w:p>
        </w:tc>
      </w:tr>
      <w:tr w:rsidRPr="007E54DC" w:rsidR="00ED7992" w:rsidTr="00E63F2E" w14:paraId="0BD938DB"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6FAF0EEF"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29DCC875" w14:textId="50EAC115">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September 2022</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1602FE0F" w14:textId="58FE2BAD">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August 2022</w:t>
            </w:r>
          </w:p>
        </w:tc>
      </w:tr>
      <w:tr w:rsidRPr="007E54DC" w:rsidR="00ED7992" w:rsidTr="00E63F2E" w14:paraId="78124BD0"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2766CDE7"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Maldives</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2DF5CE11" w14:textId="29DE7F04">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3.1</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E1CBB" w:rsidRDefault="00ED7992" w14:paraId="49EF3007" w14:textId="57BB76E5">
            <w:pPr>
              <w:keepNext/>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2.6</w:t>
            </w:r>
          </w:p>
        </w:tc>
      </w:tr>
    </w:tbl>
    <w:p w:rsidRPr="007E54DC" w:rsidR="00ED7992" w:rsidP="00EE1CBB" w:rsidRDefault="00EE1CBB" w14:paraId="18E0B872" w14:textId="462D1693">
      <w:pPr>
        <w:pStyle w:val="Caption"/>
      </w:pPr>
      <w:bookmarkStart w:name="_Toc132104916" w:id="30"/>
      <w:r w:rsidRPr="007E54DC">
        <w:t xml:space="preserve">Table </w:t>
      </w:r>
      <w:r w:rsidRPr="007E54DC">
        <w:fldChar w:fldCharType="begin"/>
      </w:r>
      <w:r w:rsidRPr="007E54DC">
        <w:instrText>SEQ Table \* ARABIC</w:instrText>
      </w:r>
      <w:r w:rsidRPr="007E54DC">
        <w:fldChar w:fldCharType="separate"/>
      </w:r>
      <w:r w:rsidR="00B9356F">
        <w:rPr>
          <w:noProof/>
        </w:rPr>
        <w:t>6</w:t>
      </w:r>
      <w:r w:rsidRPr="007E54DC">
        <w:fldChar w:fldCharType="end"/>
      </w:r>
      <w:r w:rsidRPr="007E54DC">
        <w:rPr>
          <w:noProof/>
        </w:rPr>
        <w:t xml:space="preserve">  - Inflation rates for project countries</w:t>
      </w:r>
      <w:bookmarkEnd w:id="30"/>
    </w:p>
    <w:p w:rsidRPr="007E54DC" w:rsidR="00D15D16" w:rsidP="006E055F" w:rsidRDefault="00D15D16" w14:paraId="5E61DDD9" w14:textId="4A22DF47" w14:noSpellErr="1">
      <w:pPr>
        <w:pStyle w:val="Heading3"/>
        <w:rPr>
          <w:rFonts w:ascii="Segoe UI" w:hAnsi="Segoe UI" w:cs="Segoe UI"/>
        </w:rPr>
      </w:pPr>
      <w:bookmarkStart w:name="_Toc111401979" w:id="31"/>
      <w:bookmarkStart w:name="_Toc1803682068" w:id="186794721"/>
      <w:r w:rsidR="00D15D16">
        <w:rPr/>
        <w:t>Risk</w:t>
      </w:r>
      <w:r w:rsidR="007F4A80">
        <w:rPr/>
        <w:t xml:space="preserve"> </w:t>
      </w:r>
      <w:bookmarkEnd w:id="31"/>
      <w:r w:rsidR="007F4A80">
        <w:rPr/>
        <w:t>Summar</w:t>
      </w:r>
      <w:r w:rsidR="001978B9">
        <w:rPr/>
        <w:t>y</w:t>
      </w:r>
      <w:bookmarkEnd w:id="186794721"/>
      <w:r w:rsidR="00D15D16">
        <w:rPr/>
        <w:t> </w:t>
      </w:r>
    </w:p>
    <w:p w:rsidRPr="007E54DC" w:rsidR="006343C6" w:rsidP="007A28B8" w:rsidRDefault="00FD4FB2" w14:paraId="53573869" w14:textId="20C8F5E8">
      <w:pPr>
        <w:rPr>
          <w:rFonts w:eastAsia="Times New Roman"/>
        </w:rPr>
      </w:pPr>
      <w:r w:rsidRPr="007E54DC">
        <w:t>A</w:t>
      </w:r>
      <w:r w:rsidRPr="007E54DC" w:rsidR="00D15D16">
        <w:t xml:space="preserve"> Risk Potential Assessment (RPA)</w:t>
      </w:r>
      <w:r w:rsidRPr="007E54DC">
        <w:t xml:space="preserve"> was conducted for the original GFCR business case</w:t>
      </w:r>
      <w:r w:rsidRPr="007E54DC" w:rsidR="00D15D16">
        <w:t xml:space="preserve">, scoring </w:t>
      </w:r>
      <w:r w:rsidRPr="007E54DC">
        <w:t xml:space="preserve">a </w:t>
      </w:r>
      <w:r w:rsidRPr="007E54DC" w:rsidR="00D15D16">
        <w:t xml:space="preserve">low, meaning very limited risks. </w:t>
      </w:r>
      <w:r w:rsidRPr="007E54DC" w:rsidR="00352A53">
        <w:t>A</w:t>
      </w:r>
      <w:r w:rsidRPr="007E54DC" w:rsidR="00D15D16">
        <w:t>n updated RPA assessment has concluded there continues to be limited risks</w:t>
      </w:r>
      <w:r w:rsidRPr="007E54DC" w:rsidR="00352A53">
        <w:t xml:space="preserve"> and has again scored it as low</w:t>
      </w:r>
      <w:r w:rsidRPr="007E54DC" w:rsidR="00D15D16">
        <w:t xml:space="preserve">. </w:t>
      </w:r>
      <w:r w:rsidRPr="007E54DC" w:rsidR="006018DC">
        <w:t>A</w:t>
      </w:r>
      <w:r w:rsidRPr="007E54DC" w:rsidR="00D15D16">
        <w:t xml:space="preserve">ttentive and robust delivery by the GFCR team in year one supports this. However, as the UKs contribution grows, it is worth </w:t>
      </w:r>
      <w:r w:rsidRPr="007E54DC" w:rsidR="00352A53">
        <w:t xml:space="preserve">acknowledging several risks </w:t>
      </w:r>
      <w:r w:rsidRPr="007E54DC" w:rsidR="00D15D16">
        <w:t xml:space="preserve">which are set out </w:t>
      </w:r>
      <w:r w:rsidRPr="007E54DC" w:rsidR="007F4A80">
        <w:t xml:space="preserve">in Annex </w:t>
      </w:r>
      <w:r w:rsidRPr="007E54DC" w:rsidR="675A37BF">
        <w:t>G</w:t>
      </w:r>
      <w:r w:rsidRPr="007E54DC" w:rsidR="007F4A80">
        <w:t xml:space="preserve"> where mitigation actions and an assessment of each is laid out.</w:t>
      </w:r>
      <w:r w:rsidRPr="007E54DC" w:rsidR="00D15D16">
        <w:t>  </w:t>
      </w:r>
    </w:p>
    <w:p w:rsidRPr="007E54DC" w:rsidR="00B1737E" w:rsidP="00B1737E" w:rsidRDefault="00383C21" w14:paraId="44C35BCA" w14:textId="6C6F397C" w14:noSpellErr="1">
      <w:pPr>
        <w:pStyle w:val="Heading1"/>
        <w:rPr/>
      </w:pPr>
      <w:bookmarkStart w:name="_Toc111401980" w:id="34"/>
      <w:bookmarkStart w:name="_Toc954539185" w:id="990248210"/>
      <w:r w:rsidR="00383C21">
        <w:rPr/>
        <w:t xml:space="preserve">Section 3: </w:t>
      </w:r>
      <w:r w:rsidR="00B1737E">
        <w:rPr/>
        <w:t>Implementation</w:t>
      </w:r>
      <w:bookmarkEnd w:id="990248210"/>
    </w:p>
    <w:p w:rsidRPr="007E54DC" w:rsidR="00D15D16" w:rsidP="0022760D" w:rsidRDefault="00383C21" w14:paraId="7E6115A1" w14:textId="3FCAED06" w14:noSpellErr="1">
      <w:pPr>
        <w:pStyle w:val="Heading2"/>
        <w:rPr/>
      </w:pPr>
      <w:bookmarkStart w:name="_Toc1471274408" w:id="953522089"/>
      <w:r w:rsidR="00383C21">
        <w:rPr/>
        <w:t xml:space="preserve">Section 3.1: </w:t>
      </w:r>
      <w:r w:rsidR="00D15D16">
        <w:rPr/>
        <w:t>What is the approach to implementation?</w:t>
      </w:r>
      <w:bookmarkEnd w:id="34"/>
      <w:bookmarkEnd w:id="953522089"/>
    </w:p>
    <w:p w:rsidRPr="007E54DC" w:rsidR="6AB7FF04" w:rsidP="23A59346" w:rsidRDefault="626B318D" w14:paraId="2B734332" w14:textId="767D3D1D">
      <w:pPr>
        <w:rPr>
          <w:rFonts w:ascii="Calibri" w:hAnsi="Calibri" w:eastAsia="Calibri" w:cs="Calibri"/>
          <w:color w:val="000000" w:themeColor="text1"/>
        </w:rPr>
      </w:pPr>
      <w:r w:rsidRPr="007E54DC">
        <w:t xml:space="preserve">Grants will be delivered on the ground by implementing partners, partners will be selected either based on an initial expression of interest exercise, or an advertised open call for proposals over a specific period in accordance with standard UN practices and procedures. </w:t>
      </w:r>
      <w:r w:rsidRPr="007E54DC" w:rsidR="5A16AC65">
        <w:rPr>
          <w:rFonts w:ascii="Calibri" w:hAnsi="Calibri" w:eastAsia="Calibri" w:cs="Calibri"/>
          <w:color w:val="000000" w:themeColor="text1"/>
        </w:rPr>
        <w:t xml:space="preserve"> To ensure impartiality the GFCR team collaborates closely with various partners for feedback, with members of the GFCR Global team scoring independently before averages are collated. Summary presentations for each successful proposal are then presented to and can be approved by the EB, </w:t>
      </w:r>
      <w:r w:rsidRPr="007E54DC" w:rsidR="5D1B1DE0">
        <w:rPr>
          <w:rFonts w:ascii="Calibri" w:hAnsi="Calibri" w:eastAsia="Calibri" w:cs="Calibri"/>
          <w:color w:val="000000" w:themeColor="text1"/>
        </w:rPr>
        <w:t xml:space="preserve">on </w:t>
      </w:r>
      <w:r w:rsidRPr="007E54DC" w:rsidR="5A16AC65">
        <w:rPr>
          <w:rFonts w:ascii="Calibri" w:hAnsi="Calibri" w:eastAsia="Calibri" w:cs="Calibri"/>
          <w:color w:val="000000" w:themeColor="text1"/>
        </w:rPr>
        <w:t xml:space="preserve">which </w:t>
      </w:r>
      <w:r w:rsidRPr="007E54DC" w:rsidR="6ABF2FBE">
        <w:rPr>
          <w:rFonts w:ascii="Calibri" w:hAnsi="Calibri" w:eastAsia="Calibri" w:cs="Calibri"/>
          <w:color w:val="000000" w:themeColor="text1"/>
        </w:rPr>
        <w:t xml:space="preserve">the UK through </w:t>
      </w:r>
      <w:r w:rsidRPr="007E54DC" w:rsidR="5A16AC65">
        <w:rPr>
          <w:rFonts w:ascii="Calibri" w:hAnsi="Calibri" w:eastAsia="Calibri" w:cs="Calibri"/>
          <w:color w:val="000000" w:themeColor="text1"/>
        </w:rPr>
        <w:t>Defra</w:t>
      </w:r>
      <w:r w:rsidRPr="007E54DC" w:rsidR="2C8D7AE6">
        <w:rPr>
          <w:rFonts w:ascii="Calibri" w:hAnsi="Calibri" w:eastAsia="Calibri" w:cs="Calibri"/>
          <w:color w:val="000000" w:themeColor="text1"/>
        </w:rPr>
        <w:t xml:space="preserve"> ha</w:t>
      </w:r>
      <w:r w:rsidRPr="007E54DC" w:rsidR="5A16AC65">
        <w:rPr>
          <w:rFonts w:ascii="Calibri" w:hAnsi="Calibri" w:eastAsia="Calibri" w:cs="Calibri"/>
          <w:color w:val="000000" w:themeColor="text1"/>
        </w:rPr>
        <w:t xml:space="preserve">s </w:t>
      </w:r>
      <w:r w:rsidRPr="007E54DC" w:rsidR="64E9EA75">
        <w:rPr>
          <w:rFonts w:ascii="Calibri" w:hAnsi="Calibri" w:eastAsia="Calibri" w:cs="Calibri"/>
          <w:color w:val="000000" w:themeColor="text1"/>
        </w:rPr>
        <w:t xml:space="preserve">a </w:t>
      </w:r>
      <w:r w:rsidRPr="007E54DC" w:rsidR="5A16AC65">
        <w:rPr>
          <w:rFonts w:ascii="Calibri" w:hAnsi="Calibri" w:eastAsia="Calibri" w:cs="Calibri"/>
          <w:color w:val="000000" w:themeColor="text1"/>
        </w:rPr>
        <w:t>seat.</w:t>
      </w:r>
      <w:r w:rsidRPr="007E54DC" w:rsidR="7E995E61">
        <w:rPr>
          <w:rFonts w:ascii="Calibri" w:hAnsi="Calibri" w:eastAsia="Calibri" w:cs="Calibri"/>
          <w:color w:val="000000" w:themeColor="text1"/>
        </w:rPr>
        <w:t xml:space="preserve"> Discussions are currently ongoing as to how Defra formalise the </w:t>
      </w:r>
      <w:r w:rsidRPr="007E54DC" w:rsidR="011F957C">
        <w:rPr>
          <w:rFonts w:ascii="Calibri" w:hAnsi="Calibri" w:eastAsia="Calibri" w:cs="Calibri"/>
          <w:color w:val="000000" w:themeColor="text1"/>
        </w:rPr>
        <w:t xml:space="preserve">internal </w:t>
      </w:r>
      <w:r w:rsidRPr="007E54DC" w:rsidR="7E995E61">
        <w:rPr>
          <w:rFonts w:ascii="Calibri" w:hAnsi="Calibri" w:eastAsia="Calibri" w:cs="Calibri"/>
          <w:color w:val="000000" w:themeColor="text1"/>
        </w:rPr>
        <w:t xml:space="preserve">assessment and voting process for new projects. At present the </w:t>
      </w:r>
      <w:r w:rsidRPr="007E54DC" w:rsidR="7BB73498">
        <w:rPr>
          <w:rFonts w:ascii="Calibri" w:hAnsi="Calibri" w:eastAsia="Calibri" w:cs="Calibri"/>
          <w:color w:val="000000" w:themeColor="text1"/>
        </w:rPr>
        <w:t xml:space="preserve">programme team critically review concept proposals, assessing against ODA </w:t>
      </w:r>
      <w:r w:rsidRPr="007E54DC" w:rsidR="07832D7B">
        <w:rPr>
          <w:rFonts w:ascii="Calibri" w:hAnsi="Calibri" w:eastAsia="Calibri" w:cs="Calibri"/>
          <w:color w:val="000000" w:themeColor="text1"/>
        </w:rPr>
        <w:t>e</w:t>
      </w:r>
      <w:r w:rsidRPr="007E54DC" w:rsidR="7BB73498">
        <w:rPr>
          <w:rFonts w:ascii="Calibri" w:hAnsi="Calibri" w:eastAsia="Calibri" w:cs="Calibri"/>
          <w:color w:val="000000" w:themeColor="text1"/>
        </w:rPr>
        <w:t>ligibility and links with BPF themes/wider BPF programmes. The team then share with wider members of the BPF team and Defra’s International Marine Species Conservation Policy team to gather feedback</w:t>
      </w:r>
      <w:r w:rsidRPr="007E54DC" w:rsidR="75D4D056">
        <w:rPr>
          <w:rFonts w:ascii="Calibri" w:hAnsi="Calibri" w:eastAsia="Calibri" w:cs="Calibri"/>
          <w:color w:val="000000" w:themeColor="text1"/>
        </w:rPr>
        <w:t xml:space="preserve"> </w:t>
      </w:r>
      <w:r w:rsidRPr="007E54DC" w:rsidR="731E9AB9">
        <w:rPr>
          <w:rFonts w:ascii="Calibri" w:hAnsi="Calibri" w:eastAsia="Calibri" w:cs="Calibri"/>
          <w:color w:val="000000" w:themeColor="text1"/>
        </w:rPr>
        <w:t>before confirming a</w:t>
      </w:r>
      <w:r w:rsidRPr="007E54DC" w:rsidR="75D4D056">
        <w:rPr>
          <w:rFonts w:ascii="Calibri" w:hAnsi="Calibri" w:eastAsia="Calibri" w:cs="Calibri"/>
          <w:color w:val="000000" w:themeColor="text1"/>
        </w:rPr>
        <w:t xml:space="preserve"> decision. </w:t>
      </w:r>
    </w:p>
    <w:p w:rsidRPr="007E54DC" w:rsidR="00D15D16" w:rsidP="00D15D16" w:rsidRDefault="008609FC" w14:paraId="0C85F065" w14:textId="588E8CE9">
      <w:r w:rsidRPr="007E54DC">
        <w:t>GFCR g</w:t>
      </w:r>
      <w:r w:rsidRPr="007E54DC" w:rsidR="00AC64C3">
        <w:t xml:space="preserve">overnance arrangements are built on and informed by the UNs five principles which are innovation, transparency, accountability, public-private partnership, and integrated programming. </w:t>
      </w:r>
      <w:r w:rsidRPr="007E54DC" w:rsidR="00D15D16">
        <w:t>The GFCR is delivered by the UNDP as a multi-partner trust fund (MPTF). The governance structure (</w:t>
      </w:r>
      <w:r w:rsidRPr="007E54DC" w:rsidR="00AC64C3">
        <w:t xml:space="preserve">see </w:t>
      </w:r>
      <w:r w:rsidRPr="007E54DC" w:rsidR="00D94471">
        <w:t xml:space="preserve">Annex </w:t>
      </w:r>
      <w:r w:rsidRPr="007E54DC" w:rsidR="1116580E">
        <w:t>H</w:t>
      </w:r>
      <w:r w:rsidRPr="007E54DC" w:rsidR="00D15D16">
        <w:t xml:space="preserve">) has </w:t>
      </w:r>
      <w:r w:rsidRPr="007E54DC" w:rsidR="00AC64C3">
        <w:t>several</w:t>
      </w:r>
      <w:r w:rsidRPr="007E54DC" w:rsidR="00D15D16">
        <w:t xml:space="preserve"> key components and remains unchanged since the original investment:</w:t>
      </w:r>
    </w:p>
    <w:p w:rsidRPr="007E54DC" w:rsidR="00AC64C3" w:rsidP="006628DE" w:rsidRDefault="3F0CF485" w14:paraId="5FF2D8D2" w14:textId="51BCC344">
      <w:pPr>
        <w:pStyle w:val="ListParagraph"/>
        <w:numPr>
          <w:ilvl w:val="0"/>
          <w:numId w:val="17"/>
        </w:numPr>
        <w:spacing w:after="0"/>
      </w:pPr>
      <w:r w:rsidRPr="007E54DC">
        <w:t xml:space="preserve">Alongside other public donors the UK has a permanent voting </w:t>
      </w:r>
      <w:r w:rsidRPr="007E54DC" w:rsidR="1034706B">
        <w:t xml:space="preserve">or vetoing </w:t>
      </w:r>
      <w:r w:rsidRPr="007E54DC">
        <w:t>seat on the overarching governance structure for the Fund, the Executive Board (EB). Through the EB the UK has final approval of project proposals, policy documents, and any new or amendments to existing Fund management documents.</w:t>
      </w:r>
      <w:r w:rsidRPr="007E54DC" w:rsidR="203FA56D">
        <w:t xml:space="preserve"> Philanthropic and private donors are also able to take a seat on the EB with a minimum contribution of $5m but only the public donor seats are permanent and there are a limited number (6).</w:t>
      </w:r>
    </w:p>
    <w:p w:rsidRPr="007E54DC" w:rsidR="00D15D16" w:rsidP="006628DE" w:rsidRDefault="00D15D16" w14:paraId="5F0DDD1E" w14:textId="35CA6D2D">
      <w:pPr>
        <w:pStyle w:val="ListParagraph"/>
        <w:numPr>
          <w:ilvl w:val="0"/>
          <w:numId w:val="17"/>
        </w:numPr>
        <w:spacing w:after="0"/>
        <w:rPr>
          <w:rFonts w:eastAsia="Calibri"/>
        </w:rPr>
      </w:pPr>
      <w:r w:rsidRPr="007E54DC">
        <w:t>This EB is supported by a technical Advisory Board</w:t>
      </w:r>
      <w:r w:rsidRPr="007E54DC" w:rsidR="00AC64C3">
        <w:t xml:space="preserve"> which </w:t>
      </w:r>
      <w:r w:rsidRPr="007E54DC">
        <w:t xml:space="preserve">is a multi-stakeholder body composed of an independent group of experts designed to provide recommendations and </w:t>
      </w:r>
      <w:r w:rsidRPr="007E54DC">
        <w:t>advice to the EB of the Grant Fund and the Investment Committee of the Investment Fund.</w:t>
      </w:r>
      <w:r w:rsidRPr="007E54DC" w:rsidR="00AC64C3">
        <w:t xml:space="preserve"> The Advisory Board includes </w:t>
      </w:r>
      <w:r w:rsidRPr="007E54DC" w:rsidR="00813DC3">
        <w:t xml:space="preserve">Global South representation and </w:t>
      </w:r>
      <w:r w:rsidRPr="007E54DC" w:rsidR="00AC64C3">
        <w:t xml:space="preserve">strong policy expertise including from International Coral Reef Initiative (ICRI) and the </w:t>
      </w:r>
      <w:r w:rsidRPr="007E54DC" w:rsidR="00AC64C3">
        <w:rPr>
          <w:rFonts w:eastAsia="Calibri"/>
        </w:rPr>
        <w:t>Ocean Risk and Resilience Action Alliance (ORRAA) to strengthen collaboration between complementary organisation</w:t>
      </w:r>
      <w:r w:rsidRPr="007E54DC" w:rsidR="7DAC5609">
        <w:rPr>
          <w:rFonts w:eastAsia="Calibri"/>
        </w:rPr>
        <w:t>s</w:t>
      </w:r>
      <w:r w:rsidRPr="007E54DC" w:rsidR="00AC64C3">
        <w:rPr>
          <w:rFonts w:eastAsia="Calibri"/>
        </w:rPr>
        <w:t>; both of which the UK is involved in, including investing in ORRAA, strengthening our role in GFCR governance beyond the EB.</w:t>
      </w:r>
    </w:p>
    <w:p w:rsidRPr="007E54DC" w:rsidR="00D15D16" w:rsidP="006628DE" w:rsidRDefault="00D15D16" w14:paraId="31E8AA95" w14:textId="77777777">
      <w:pPr>
        <w:pStyle w:val="ListParagraph"/>
        <w:numPr>
          <w:ilvl w:val="0"/>
          <w:numId w:val="17"/>
        </w:numPr>
      </w:pPr>
      <w:r w:rsidRPr="007E54DC">
        <w:t>The GFCR Secretariat was established in 2021 as the dedicated management structure to implement day-to-day activities of the GFCR Grant Fund and support the GFCR EB. The Secretariat is administratively hosted by the UN Multi-Partner Trust Fund Office; a dedicated global team of UN staff (predominantly UNDP).</w:t>
      </w:r>
    </w:p>
    <w:p w:rsidRPr="007E54DC" w:rsidR="00D15D16" w:rsidP="00D15D16" w:rsidRDefault="00AC64C3" w14:paraId="1AB94BF3" w14:textId="504E1633">
      <w:r w:rsidRPr="007E54DC">
        <w:t xml:space="preserve">Fiduciary management is supported by two specific trustees, the Grant Administrator, and Investment Manager. </w:t>
      </w:r>
      <w:r w:rsidRPr="007E54DC" w:rsidR="00D15D16">
        <w:t>The Grant Administrator and the Investment Manager are responsible for coordination of the Convening Agents and as necessary other downstream implementing partners, such as the UN agencies, MDBs, NGOs and private companies. The GFCR Global Team</w:t>
      </w:r>
      <w:r w:rsidRPr="007E54DC">
        <w:t>, housed within the secretariat,</w:t>
      </w:r>
      <w:r w:rsidRPr="007E54DC" w:rsidR="00D15D16">
        <w:t xml:space="preserve"> are responsible for the coordination, programming and monitoring and evaluation</w:t>
      </w:r>
      <w:r w:rsidRPr="007E54DC">
        <w:t xml:space="preserve">. </w:t>
      </w:r>
    </w:p>
    <w:p w:rsidRPr="007E54DC" w:rsidR="00D15D16" w:rsidP="00D15D16" w:rsidRDefault="00AC64C3" w14:paraId="51A36F56" w14:textId="7EDACDE8">
      <w:r w:rsidRPr="007E54DC">
        <w:t>T</w:t>
      </w:r>
      <w:r w:rsidRPr="007E54DC" w:rsidR="00D15D16">
        <w:t xml:space="preserve">he GFCR impact framework </w:t>
      </w:r>
      <w:r w:rsidRPr="007E54DC">
        <w:t xml:space="preserve">which tracks, </w:t>
      </w:r>
      <w:r w:rsidRPr="007E54DC" w:rsidR="00002C9C">
        <w:t>monitors,</w:t>
      </w:r>
      <w:r w:rsidRPr="007E54DC">
        <w:t xml:space="preserve"> and learns from progress is aligned </w:t>
      </w:r>
      <w:r w:rsidRPr="007E54DC" w:rsidR="00D15D16">
        <w:t xml:space="preserve">with global standards </w:t>
      </w:r>
      <w:r w:rsidRPr="007E54DC">
        <w:t xml:space="preserve">and </w:t>
      </w:r>
      <w:r w:rsidRPr="007E54DC" w:rsidR="00D15D16">
        <w:t>priori</w:t>
      </w:r>
      <w:r w:rsidRPr="007E54DC">
        <w:t>ti</w:t>
      </w:r>
      <w:r w:rsidRPr="007E54DC" w:rsidR="00D15D16">
        <w:t>es</w:t>
      </w:r>
      <w:r w:rsidRPr="007E54DC">
        <w:t xml:space="preserve">. For </w:t>
      </w:r>
      <w:r w:rsidRPr="007E54DC" w:rsidR="002D597C">
        <w:t>example,</w:t>
      </w:r>
      <w:r w:rsidRPr="007E54DC">
        <w:t xml:space="preserve"> </w:t>
      </w:r>
      <w:r w:rsidRPr="007E54DC" w:rsidR="00D15D16">
        <w:t xml:space="preserve">in 2021 UNEP (on behalf of GFCR) engaged with Convention on Biological Diversity and the Global Coral Reef Monitoring Network. The GFCR is </w:t>
      </w:r>
      <w:r w:rsidRPr="007E54DC" w:rsidR="00A43B90">
        <w:t xml:space="preserve">also </w:t>
      </w:r>
      <w:r w:rsidRPr="007E54DC" w:rsidR="00D15D16">
        <w:t xml:space="preserve">expanding the </w:t>
      </w:r>
      <w:r w:rsidRPr="007E54DC" w:rsidR="00A43B90">
        <w:t xml:space="preserve">on the ground governance </w:t>
      </w:r>
      <w:r w:rsidRPr="007E54DC" w:rsidR="00D15D16">
        <w:t xml:space="preserve">role of UN Environment </w:t>
      </w:r>
      <w:r w:rsidRPr="007E54DC" w:rsidR="00A43B90">
        <w:t xml:space="preserve">Programme </w:t>
      </w:r>
      <w:r w:rsidRPr="007E54DC" w:rsidR="00D15D16">
        <w:t>(UNEP) to build in-country capacity to implement the GFCR framework and support GFCR Convening Agents and their partners.</w:t>
      </w:r>
    </w:p>
    <w:p w:rsidRPr="007E54DC" w:rsidR="00D15D16" w:rsidP="107A7A8D" w:rsidRDefault="2ED6CCF8" w14:paraId="05F309B7" w14:textId="66C19E87">
      <w:r w:rsidRPr="007E54DC">
        <w:t xml:space="preserve">This uplift, as with the initial investment, will </w:t>
      </w:r>
      <w:r w:rsidRPr="007E54DC" w:rsidR="2B7CDE86">
        <w:t xml:space="preserve">be a contribution to </w:t>
      </w:r>
      <w:r w:rsidRPr="007E54DC">
        <w:t xml:space="preserve">the </w:t>
      </w:r>
      <w:r w:rsidRPr="007E54DC" w:rsidR="219E4594">
        <w:t>Grant Fund</w:t>
      </w:r>
      <w:r w:rsidRPr="007E54DC" w:rsidR="07433E09">
        <w:t xml:space="preserve"> (See section 4.4 Commercial case</w:t>
      </w:r>
      <w:r w:rsidRPr="007E54DC" w:rsidR="32945984">
        <w:t>)</w:t>
      </w:r>
      <w:r w:rsidRPr="007E54DC">
        <w:t>.</w:t>
      </w:r>
      <w:r w:rsidRPr="007E54DC" w:rsidDel="00E63F2E" w:rsidR="00E63F2E">
        <w:t xml:space="preserve"> </w:t>
      </w:r>
      <w:r w:rsidRPr="007E54DC" w:rsidR="02150548">
        <w:t>Year on year, annual disbursement of f</w:t>
      </w:r>
      <w:r w:rsidRPr="007E54DC" w:rsidR="6A74958C">
        <w:t xml:space="preserve">unds will not be </w:t>
      </w:r>
      <w:r w:rsidRPr="007E54DC" w:rsidR="02150548">
        <w:t xml:space="preserve">approved </w:t>
      </w:r>
      <w:r w:rsidRPr="007E54DC" w:rsidR="6A74958C">
        <w:t xml:space="preserve">until </w:t>
      </w:r>
      <w:r w:rsidRPr="007E54DC" w:rsidR="02150548">
        <w:t xml:space="preserve">each </w:t>
      </w:r>
      <w:r w:rsidRPr="007E54DC" w:rsidR="6A74958C">
        <w:t>Annual Review is finalised and</w:t>
      </w:r>
      <w:r w:rsidRPr="007E54DC" w:rsidR="449FEAD1">
        <w:t xml:space="preserve"> </w:t>
      </w:r>
      <w:r w:rsidRPr="007E54DC" w:rsidR="07B6DFAB">
        <w:t xml:space="preserve">strong </w:t>
      </w:r>
      <w:r w:rsidRPr="007E54DC" w:rsidR="449FEAD1">
        <w:t xml:space="preserve">performance </w:t>
      </w:r>
      <w:r w:rsidRPr="007E54DC" w:rsidR="02150548">
        <w:t xml:space="preserve">and </w:t>
      </w:r>
      <w:r w:rsidRPr="007E54DC" w:rsidR="449FEAD1">
        <w:t xml:space="preserve">evaluation scores </w:t>
      </w:r>
      <w:r w:rsidRPr="007E54DC" w:rsidR="18D650A1">
        <w:t>(at least an A)</w:t>
      </w:r>
      <w:r w:rsidRPr="007E54DC" w:rsidR="449FEAD1">
        <w:t xml:space="preserve"> </w:t>
      </w:r>
      <w:r w:rsidRPr="007E54DC" w:rsidR="23B6C3CE">
        <w:t>and</w:t>
      </w:r>
      <w:r w:rsidRPr="007E54DC" w:rsidR="449FEAD1">
        <w:t xml:space="preserve"> value for money </w:t>
      </w:r>
      <w:r w:rsidRPr="007E54DC" w:rsidR="02517482">
        <w:t>is</w:t>
      </w:r>
      <w:r w:rsidRPr="007E54DC" w:rsidR="449FEAD1">
        <w:t xml:space="preserve"> evidenced.</w:t>
      </w:r>
    </w:p>
    <w:p w:rsidRPr="007E54DC" w:rsidR="00D15D16" w:rsidP="00D15D16" w:rsidRDefault="00D15D16" w14:paraId="57C8724B" w14:textId="4DF7656C">
      <w:r w:rsidRPr="007E54DC">
        <w:t>As with the original UK contribution, a new UNDP MPFT Standard Administrative Agreement (SAA) will be used to govern the relationship between Defra and the GCFR. This template is used by all donors to the Fund to standardise the approach to reporting, monitoring, and auditing, while recognising the individual needs of investors which will be reflected in dates and unique clauses in the agreement. The UK has signed various UN MPFT SAAs previously.</w:t>
      </w:r>
    </w:p>
    <w:p w:rsidRPr="007E54DC" w:rsidR="008609FC" w:rsidP="0022760D" w:rsidRDefault="00383C21" w14:paraId="26FAB607" w14:textId="6B090C19" w14:noSpellErr="1">
      <w:pPr>
        <w:pStyle w:val="Heading2"/>
        <w:rPr/>
      </w:pPr>
      <w:bookmarkStart w:name="_Toc302693627" w:id="1439639550"/>
      <w:r w:rsidR="00383C21">
        <w:rPr/>
        <w:t xml:space="preserve">Section 3.2: </w:t>
      </w:r>
      <w:r w:rsidR="008609FC">
        <w:rPr/>
        <w:t>Defra and HMG governance</w:t>
      </w:r>
      <w:bookmarkEnd w:id="1439639550"/>
    </w:p>
    <w:p w:rsidRPr="007E54DC" w:rsidR="008609FC" w:rsidP="008609FC" w:rsidRDefault="001C5F5B" w14:paraId="0FF4BE89" w14:textId="599AA395">
      <w:r w:rsidRPr="007E54DC">
        <w:t xml:space="preserve">The </w:t>
      </w:r>
      <w:r w:rsidRPr="007E54DC" w:rsidR="008609FC">
        <w:t>Director for Marine and Fisheries is the Senior Responsible Owner (SRO) for the BPF Portfolio</w:t>
      </w:r>
      <w:r w:rsidRPr="007E54DC">
        <w:t xml:space="preserve"> and</w:t>
      </w:r>
      <w:r w:rsidRPr="007E54DC" w:rsidR="008609FC">
        <w:t xml:space="preserve"> responsible and accountable, through </w:t>
      </w:r>
      <w:r w:rsidRPr="007E54DC">
        <w:t xml:space="preserve">the </w:t>
      </w:r>
      <w:r w:rsidRPr="007E54DC" w:rsidR="008609FC">
        <w:t xml:space="preserve">Director for International Biodiversity and Climate (IBC) and ODA, to the Principal Accounting Officer (PAO) for Defra’s allocation of the BPF.   </w:t>
      </w:r>
    </w:p>
    <w:p w:rsidRPr="007E54DC" w:rsidR="008609FC" w:rsidP="008609FC" w:rsidRDefault="008609FC" w14:paraId="3B3E4897" w14:textId="1C3E7E3C">
      <w:r w:rsidRPr="007E54DC">
        <w:t xml:space="preserve">In line with HMG’s Project Delivery Capability Framework, </w:t>
      </w:r>
      <w:r w:rsidRPr="007E54DC" w:rsidR="001C5F5B">
        <w:t xml:space="preserve">the </w:t>
      </w:r>
      <w:r w:rsidRPr="007E54DC">
        <w:t>Head</w:t>
      </w:r>
      <w:r w:rsidRPr="007E54DC" w:rsidR="001C5F5B">
        <w:t>(s)</w:t>
      </w:r>
      <w:r w:rsidRPr="007E54DC">
        <w:t xml:space="preserve"> of International Sustainable Blue Finance are SROs for the BPF programmes</w:t>
      </w:r>
      <w:r w:rsidRPr="007E54DC" w:rsidR="001C5F5B">
        <w:t xml:space="preserve">, </w:t>
      </w:r>
      <w:r w:rsidRPr="007E54DC">
        <w:t>report</w:t>
      </w:r>
      <w:r w:rsidRPr="007E54DC" w:rsidR="001C5F5B">
        <w:t>ing</w:t>
      </w:r>
      <w:r w:rsidRPr="007E54DC">
        <w:t xml:space="preserve"> to Deputy Director for International Marine.</w:t>
      </w:r>
    </w:p>
    <w:p w:rsidRPr="007E54DC" w:rsidR="008609FC" w:rsidP="008609FC" w:rsidRDefault="008609FC" w14:paraId="6FD6D39F" w14:textId="49B6DEB1">
      <w:r w:rsidRPr="007E54DC">
        <w:t xml:space="preserve">Robust governance and control processes have been developed internally to manage Defra’s investments and feed into broader ODA governance. This includes: </w:t>
      </w:r>
    </w:p>
    <w:p w:rsidRPr="007E54DC" w:rsidR="001C5F5B" w:rsidP="006628DE" w:rsidRDefault="008609FC" w14:paraId="29EFA94A" w14:textId="3A5F48B5">
      <w:pPr>
        <w:pStyle w:val="ListParagraph"/>
        <w:numPr>
          <w:ilvl w:val="0"/>
          <w:numId w:val="31"/>
        </w:numPr>
      </w:pPr>
      <w:r w:rsidRPr="007E54DC">
        <w:t xml:space="preserve">Monthly BPF Portfolio Management Meeting </w:t>
      </w:r>
      <w:r w:rsidRPr="007E54DC" w:rsidR="001C5F5B">
        <w:t xml:space="preserve">is </w:t>
      </w:r>
      <w:r w:rsidRPr="007E54DC">
        <w:t xml:space="preserve">chaired by </w:t>
      </w:r>
      <w:r w:rsidRPr="007E54DC" w:rsidR="001C5F5B">
        <w:t>Head(s) of International Sustainable Blue Finance</w:t>
      </w:r>
      <w:r w:rsidRPr="007E54DC">
        <w:t>. P</w:t>
      </w:r>
      <w:r w:rsidRPr="007E54DC" w:rsidR="001C5F5B">
        <w:t xml:space="preserve">roject </w:t>
      </w:r>
      <w:r w:rsidRPr="007E54DC">
        <w:t>R</w:t>
      </w:r>
      <w:r w:rsidRPr="007E54DC" w:rsidR="001C5F5B">
        <w:t xml:space="preserve">esponsible </w:t>
      </w:r>
      <w:r w:rsidRPr="007E54DC">
        <w:t>O</w:t>
      </w:r>
      <w:r w:rsidRPr="007E54DC" w:rsidR="001C5F5B">
        <w:t>fficer</w:t>
      </w:r>
      <w:r w:rsidRPr="007E54DC">
        <w:t>s</w:t>
      </w:r>
      <w:r w:rsidRPr="007E54DC" w:rsidR="001C5F5B">
        <w:t xml:space="preserve"> (PROs) who carry out day to day </w:t>
      </w:r>
      <w:r w:rsidRPr="007E54DC" w:rsidR="001C5F5B">
        <w:t>management of BPF programmes, including the GFCR,</w:t>
      </w:r>
      <w:r w:rsidRPr="007E54DC">
        <w:t xml:space="preserve"> attend this meeting to provide updates on programme delivery and risk. </w:t>
      </w:r>
      <w:r w:rsidRPr="007E54DC" w:rsidR="6D978B0E">
        <w:t xml:space="preserve">These meetings will help to build a clearer understanding of synergies between </w:t>
      </w:r>
      <w:r w:rsidRPr="007E54DC" w:rsidR="4865452F">
        <w:rPr>
          <w:color w:val="000000" w:themeColor="text1"/>
        </w:rPr>
        <w:t xml:space="preserve">BPF geographies, </w:t>
      </w:r>
      <w:proofErr w:type="gramStart"/>
      <w:r w:rsidRPr="007E54DC" w:rsidR="4865452F">
        <w:rPr>
          <w:color w:val="000000" w:themeColor="text1"/>
        </w:rPr>
        <w:t>programmes</w:t>
      </w:r>
      <w:proofErr w:type="gramEnd"/>
      <w:r w:rsidRPr="007E54DC" w:rsidR="4865452F">
        <w:rPr>
          <w:color w:val="000000" w:themeColor="text1"/>
        </w:rPr>
        <w:t xml:space="preserve"> and activities</w:t>
      </w:r>
      <w:r w:rsidRPr="007E54DC" w:rsidR="6D978B0E">
        <w:t>.</w:t>
      </w:r>
    </w:p>
    <w:p w:rsidRPr="007E54DC" w:rsidR="008609FC" w:rsidP="006628DE" w:rsidRDefault="008609FC" w14:paraId="435A5E71" w14:textId="04FEA9B2">
      <w:pPr>
        <w:pStyle w:val="ListParagraph"/>
        <w:numPr>
          <w:ilvl w:val="0"/>
          <w:numId w:val="31"/>
        </w:numPr>
      </w:pPr>
      <w:r w:rsidRPr="007E54DC">
        <w:t xml:space="preserve">Quarterly BPF Programme Board </w:t>
      </w:r>
      <w:r w:rsidRPr="007E54DC" w:rsidR="001C5F5B">
        <w:t xml:space="preserve">is </w:t>
      </w:r>
      <w:r w:rsidRPr="007E54DC">
        <w:t xml:space="preserve">chaired by DD for International Marine. Membership of this board includes the ODA Hub, relevant policy teams, CSAs Office, finance and commercial. </w:t>
      </w:r>
    </w:p>
    <w:p w:rsidRPr="007E54DC" w:rsidR="008609FC" w:rsidP="006628DE" w:rsidRDefault="001C5F5B" w14:paraId="7CE5FCE6" w14:textId="53DDB129">
      <w:pPr>
        <w:pStyle w:val="ListParagraph"/>
        <w:numPr>
          <w:ilvl w:val="0"/>
          <w:numId w:val="31"/>
        </w:numPr>
      </w:pPr>
      <w:r w:rsidRPr="007E54DC">
        <w:t xml:space="preserve">The SRO for the BPF portfolio </w:t>
      </w:r>
      <w:r w:rsidRPr="007E54DC" w:rsidR="008609FC">
        <w:t xml:space="preserve">attends Defra’s ODA Board chaired by </w:t>
      </w:r>
      <w:r w:rsidRPr="007E54DC">
        <w:t xml:space="preserve">the </w:t>
      </w:r>
      <w:r w:rsidRPr="007E54DC" w:rsidR="008609FC">
        <w:t>D</w:t>
      </w:r>
      <w:r w:rsidRPr="007E54DC">
        <w:t xml:space="preserve">irector </w:t>
      </w:r>
      <w:r w:rsidRPr="007E54DC" w:rsidR="008609FC">
        <w:t>G</w:t>
      </w:r>
      <w:r w:rsidRPr="007E54DC">
        <w:t>eneral for</w:t>
      </w:r>
      <w:r w:rsidRPr="007E54DC" w:rsidR="008609FC">
        <w:t xml:space="preserve"> International, Borders and Trade. The ODA Board approves all BPF investments over £5m and ensures strategic fit and complementarity with the wider ODA portfolio. </w:t>
      </w:r>
      <w:r w:rsidRPr="007E54DC">
        <w:t xml:space="preserve">This uplift to the GFCR will </w:t>
      </w:r>
      <w:r w:rsidRPr="007E54DC" w:rsidR="008609FC">
        <w:t xml:space="preserve">follow the Red Team review </w:t>
      </w:r>
      <w:r w:rsidRPr="007E54DC">
        <w:t xml:space="preserve">and ODA Board </w:t>
      </w:r>
      <w:r w:rsidRPr="007E54DC" w:rsidR="008609FC">
        <w:t>and Investment Committee approvals.</w:t>
      </w:r>
    </w:p>
    <w:p w:rsidRPr="007E54DC" w:rsidR="008609FC" w:rsidP="008609FC" w:rsidRDefault="008609FC" w14:paraId="5856511A" w14:textId="1E78C208">
      <w:r w:rsidRPr="007E54DC">
        <w:t xml:space="preserve">Defra and FCDO have developed joint governance arrangements to ensure coherent delivery that maximises value for money and achieves the desired joint outcomes for both people and nature. The FCDO/Defra Joint Management Board (JMB) is chaired by </w:t>
      </w:r>
      <w:r w:rsidRPr="007E54DC" w:rsidR="001C5F5B">
        <w:t xml:space="preserve">BPF portfolio SRO </w:t>
      </w:r>
      <w:r w:rsidRPr="007E54DC">
        <w:t xml:space="preserve">and attended by key </w:t>
      </w:r>
      <w:r w:rsidRPr="007E54DC" w:rsidR="001C5F5B">
        <w:t xml:space="preserve">senior civil servants </w:t>
      </w:r>
      <w:r w:rsidRPr="007E54DC">
        <w:t>from both departments including FCDO Heads of Mission when appropriate. The JMB manages joint fund level risks, provides strategic advice, and takes decisions upon recommendations from the Defra and FCDO BPF SROs. The Board does not take decisions on departmental investments to maintain Accounting Officer responsibilities.</w:t>
      </w:r>
    </w:p>
    <w:p w:rsidRPr="007E54DC" w:rsidR="00D7621C" w:rsidP="007526A6" w:rsidRDefault="00002C9C" w14:paraId="257695A4" w14:textId="26262D48">
      <w:r w:rsidRPr="007E54DC">
        <w:t>T</w:t>
      </w:r>
      <w:r w:rsidRPr="007E54DC" w:rsidR="00216442">
        <w:rPr>
          <w:rFonts w:eastAsia="Times New Roman"/>
        </w:rPr>
        <w:t xml:space="preserve">he UK </w:t>
      </w:r>
      <w:r w:rsidRPr="007E54DC" w:rsidR="00D7621C">
        <w:rPr>
          <w:rFonts w:eastAsia="Times New Roman"/>
        </w:rPr>
        <w:t xml:space="preserve">has maintained </w:t>
      </w:r>
      <w:r w:rsidRPr="007E54DC" w:rsidR="002D597C">
        <w:rPr>
          <w:rFonts w:eastAsia="Times New Roman"/>
        </w:rPr>
        <w:t>its</w:t>
      </w:r>
      <w:r w:rsidRPr="007E54DC" w:rsidR="00D7621C">
        <w:rPr>
          <w:rFonts w:eastAsia="Times New Roman"/>
        </w:rPr>
        <w:t xml:space="preserve"> position as</w:t>
      </w:r>
      <w:r w:rsidRPr="007E54DC" w:rsidR="00216442">
        <w:rPr>
          <w:rFonts w:eastAsia="Times New Roman"/>
        </w:rPr>
        <w:t xml:space="preserve"> GFCR’s largest donor</w:t>
      </w:r>
      <w:r w:rsidRPr="007E54DC" w:rsidR="00D7621C">
        <w:rPr>
          <w:rFonts w:eastAsia="Times New Roman"/>
        </w:rPr>
        <w:t xml:space="preserve"> to the Grant Fund</w:t>
      </w:r>
      <w:r w:rsidRPr="007E54DC" w:rsidR="00216442">
        <w:rPr>
          <w:rFonts w:eastAsia="Times New Roman"/>
        </w:rPr>
        <w:t>, for this reason from January 2023</w:t>
      </w:r>
      <w:r w:rsidRPr="007E54DC" w:rsidR="00D7621C">
        <w:rPr>
          <w:rFonts w:eastAsia="Times New Roman"/>
        </w:rPr>
        <w:t>,</w:t>
      </w:r>
      <w:r w:rsidRPr="007E54DC" w:rsidR="00216442">
        <w:rPr>
          <w:rFonts w:eastAsia="Times New Roman"/>
        </w:rPr>
        <w:t xml:space="preserve"> the UK will take on the role as Co-Chair for the GFCR Secretariat.  The role of Co-Chair</w:t>
      </w:r>
      <w:r w:rsidRPr="007E54DC" w:rsidR="00D7621C">
        <w:rPr>
          <w:rFonts w:eastAsia="Times New Roman"/>
        </w:rPr>
        <w:t xml:space="preserve"> is supported by UNDP (also Co-Chair) and is rotated every two years; next rotation being January 2025. </w:t>
      </w:r>
    </w:p>
    <w:p w:rsidRPr="007E54DC" w:rsidR="00216442" w:rsidP="2CBED01F" w:rsidRDefault="5DC6A960" w14:paraId="71706187" w14:textId="62AA8A4D">
      <w:pPr>
        <w:spacing w:before="100" w:beforeAutospacing="1" w:after="100" w:afterAutospacing="1" w:line="240" w:lineRule="auto"/>
        <w:rPr>
          <w:rFonts w:eastAsia="Times New Roman"/>
        </w:rPr>
      </w:pPr>
      <w:r w:rsidRPr="007E54DC">
        <w:rPr>
          <w:rFonts w:eastAsia="Times New Roman"/>
        </w:rPr>
        <w:t>Briony Coulson</w:t>
      </w:r>
      <w:r w:rsidRPr="007E54DC" w:rsidR="1A96DF19">
        <w:rPr>
          <w:rFonts w:eastAsia="Times New Roman"/>
        </w:rPr>
        <w:t xml:space="preserve">, Head of </w:t>
      </w:r>
      <w:r w:rsidRPr="007E54DC" w:rsidR="00947D53">
        <w:rPr>
          <w:rFonts w:eastAsia="Times New Roman"/>
        </w:rPr>
        <w:t>International</w:t>
      </w:r>
      <w:r w:rsidRPr="007E54DC" w:rsidR="1A96DF19">
        <w:rPr>
          <w:rFonts w:eastAsia="Times New Roman"/>
        </w:rPr>
        <w:t xml:space="preserve"> Sustainable Blue Finance,</w:t>
      </w:r>
      <w:r w:rsidRPr="007E54DC">
        <w:rPr>
          <w:rFonts w:eastAsia="Times New Roman"/>
        </w:rPr>
        <w:t xml:space="preserve"> will act as Co-Chair on behalf of the UK, supporting with horizon scanning, risk mitigation, in addition to Co</w:t>
      </w:r>
      <w:r w:rsidRPr="007E54DC" w:rsidR="1693506E">
        <w:rPr>
          <w:rFonts w:eastAsia="Times New Roman"/>
        </w:rPr>
        <w:t>-Chairing</w:t>
      </w:r>
      <w:r w:rsidRPr="007E54DC">
        <w:rPr>
          <w:rFonts w:eastAsia="Times New Roman"/>
        </w:rPr>
        <w:t xml:space="preserve"> EB meetings. This will involve steering strategy direction</w:t>
      </w:r>
      <w:r w:rsidRPr="007E54DC" w:rsidR="1693506E">
        <w:rPr>
          <w:rFonts w:eastAsia="Times New Roman"/>
        </w:rPr>
        <w:t xml:space="preserve"> and engaging the board on </w:t>
      </w:r>
      <w:r w:rsidRPr="007E54DC">
        <w:rPr>
          <w:rFonts w:eastAsia="Times New Roman"/>
        </w:rPr>
        <w:t>this discussion</w:t>
      </w:r>
      <w:r w:rsidRPr="007E54DC" w:rsidR="5B0AA89B">
        <w:rPr>
          <w:rFonts w:eastAsia="Times New Roman"/>
        </w:rPr>
        <w:t xml:space="preserve"> (there are no legal obligations for the Co-Chair)</w:t>
      </w:r>
      <w:r w:rsidRPr="007E54DC" w:rsidR="1693506E">
        <w:rPr>
          <w:rFonts w:eastAsia="Times New Roman"/>
        </w:rPr>
        <w:t xml:space="preserve">. </w:t>
      </w:r>
      <w:r w:rsidRPr="007E54DC">
        <w:rPr>
          <w:rFonts w:eastAsia="Times New Roman"/>
        </w:rPr>
        <w:t>The U</w:t>
      </w:r>
      <w:r w:rsidRPr="007E54DC" w:rsidR="5B0AA89B">
        <w:rPr>
          <w:rFonts w:eastAsia="Times New Roman"/>
        </w:rPr>
        <w:t>K</w:t>
      </w:r>
      <w:r w:rsidRPr="007E54DC">
        <w:rPr>
          <w:rFonts w:eastAsia="Times New Roman"/>
        </w:rPr>
        <w:t>’s role as Co-Chair will provide many benefits</w:t>
      </w:r>
      <w:r w:rsidRPr="007E54DC" w:rsidR="004F50C9">
        <w:rPr>
          <w:rStyle w:val="FootnoteReference"/>
          <w:rFonts w:eastAsia="Times New Roman"/>
        </w:rPr>
        <w:footnoteReference w:id="23"/>
      </w:r>
      <w:r w:rsidRPr="007E54DC" w:rsidR="5B0AA89B">
        <w:rPr>
          <w:rFonts w:eastAsia="Times New Roman"/>
        </w:rPr>
        <w:t xml:space="preserve"> and will not impact Defra’s seat on the EB.</w:t>
      </w:r>
    </w:p>
    <w:p w:rsidRPr="007E54DC" w:rsidR="0059188B" w:rsidP="0059188B" w:rsidRDefault="0059188B" w14:paraId="0BEEC6E3" w14:textId="77777777" w14:noSpellErr="1">
      <w:pPr>
        <w:pStyle w:val="Heading3"/>
        <w:rPr/>
      </w:pPr>
      <w:bookmarkStart w:name="_Toc1795471449" w:id="1972738198"/>
      <w:r w:rsidR="0059188B">
        <w:rPr/>
        <w:t>Options to enhance the approach</w:t>
      </w:r>
      <w:bookmarkEnd w:id="1972738198"/>
    </w:p>
    <w:p w:rsidRPr="007E54DC" w:rsidR="0059188B" w:rsidP="00D15D16" w:rsidRDefault="0059188B" w14:paraId="2C1423D2" w14:textId="4037F266">
      <w:r w:rsidRPr="007E54DC">
        <w:t xml:space="preserve">There are several growing or additional synergies to explore that could strengthen or support the UK’s approach to managing the GFCR. With UK investments in the International Coral Reef Initiative (ICRI) and the </w:t>
      </w:r>
      <w:r w:rsidRPr="007E54DC">
        <w:rPr>
          <w:rFonts w:eastAsia="Calibri"/>
        </w:rPr>
        <w:t>Ocean Risk and Resilience Action Alliance (ORRAA) – which both advise the GFCR Executive Board –</w:t>
      </w:r>
      <w:r w:rsidRPr="007E54DC" w:rsidR="00BB2AD4">
        <w:rPr>
          <w:rFonts w:eastAsia="Calibri"/>
        </w:rPr>
        <w:t xml:space="preserve"> </w:t>
      </w:r>
      <w:r w:rsidRPr="007E54DC">
        <w:t>enhanced or formalised collaboration could be beneficial. Options for this could include establishing a working group (which could also bring in FCDO’s COAST programme) to ensure work areas complement each other and a “One HMG” approach</w:t>
      </w:r>
      <w:r w:rsidRPr="007E54DC" w:rsidR="00BB2AD4">
        <w:t xml:space="preserve"> in country</w:t>
      </w:r>
      <w:r w:rsidRPr="007E54DC">
        <w:t xml:space="preserve">. Adapting the approach </w:t>
      </w:r>
      <w:r w:rsidRPr="007E54DC" w:rsidR="00BB2AD4">
        <w:t xml:space="preserve">in this way </w:t>
      </w:r>
      <w:r w:rsidRPr="007E54DC">
        <w:t xml:space="preserve">would ensure joined up delivery across the BPF programmes, improve coordination between partners and maximise effectiveness of delivery. The GFCR team have also proactively suggested this so it will be explored </w:t>
      </w:r>
      <w:r w:rsidRPr="007E54DC" w:rsidR="00BB2AD4">
        <w:t>during year 2 of operations</w:t>
      </w:r>
      <w:r w:rsidRPr="007E54DC">
        <w:t xml:space="preserve">. </w:t>
      </w:r>
    </w:p>
    <w:p w:rsidRPr="007E54DC" w:rsidR="00D15D16" w:rsidP="006E055F" w:rsidRDefault="00D15D16" w14:paraId="3FD585A8" w14:textId="77777777" w14:noSpellErr="1">
      <w:pPr>
        <w:pStyle w:val="Heading3"/>
        <w:rPr/>
      </w:pPr>
      <w:bookmarkStart w:name="_Toc111401982" w:id="38"/>
      <w:bookmarkStart w:name="_Toc1902658272" w:id="1182003077"/>
      <w:r w:rsidR="00D15D16">
        <w:rPr/>
        <w:t>Gender</w:t>
      </w:r>
      <w:bookmarkEnd w:id="38"/>
      <w:bookmarkEnd w:id="1182003077"/>
    </w:p>
    <w:p w:rsidRPr="007E54DC" w:rsidR="00A43B90" w:rsidP="00D15D16" w:rsidRDefault="00D15D16" w14:paraId="014726E3" w14:textId="77777777">
      <w:pPr>
        <w:rPr>
          <w:rStyle w:val="CommentReference"/>
          <w:rFonts w:cstheme="minorHAnsi"/>
        </w:rPr>
      </w:pPr>
      <w:r w:rsidRPr="007E54DC">
        <w:t>Gender considerations are mainstreamed across BPF programming, all programmes are required to deliver in line with the UK International Development Gender Equality Act 2014. Gender equality and women’s empowerment are programmatic principles embodied in all UN programmes and initiatives.</w:t>
      </w:r>
    </w:p>
    <w:p w:rsidRPr="007E54DC" w:rsidR="00D15D16" w:rsidP="00D15D16" w:rsidRDefault="00A43B90" w14:paraId="7D7552C6" w14:textId="0D603A69">
      <w:r w:rsidRPr="007E54DC">
        <w:t>Th</w:t>
      </w:r>
      <w:r w:rsidRPr="007E54DC" w:rsidR="00D15D16">
        <w:t>e GFCR has adopted UNDP</w:t>
      </w:r>
      <w:r w:rsidRPr="007E54DC">
        <w:t>’s</w:t>
      </w:r>
      <w:r w:rsidRPr="007E54DC" w:rsidR="00D15D16">
        <w:t xml:space="preserve"> Social and Environmental Standards (SES) </w:t>
      </w:r>
      <w:r w:rsidRPr="007E54DC">
        <w:t xml:space="preserve">for </w:t>
      </w:r>
      <w:r w:rsidRPr="007E54DC" w:rsidR="00D15D16">
        <w:t>gender equality and have worked closely with UNDP to develop a Social and Environmental Safeguard and Risk Management system. This system is also heavily aligned with the GFCR Results Framework which will ensure data can be disaggregated by sex and demographics (youth and indigenous). Gender equality considerations, such as ensuring inclusion of women in key decision making, negotiations and management, are an overarching principle in GFCR project screening</w:t>
      </w:r>
      <w:r w:rsidRPr="007E54DC">
        <w:t>.</w:t>
      </w:r>
      <w:r w:rsidRPr="007E54DC" w:rsidR="00D15D16">
        <w:t xml:space="preserve"> </w:t>
      </w:r>
    </w:p>
    <w:p w:rsidRPr="007E54DC" w:rsidR="00D15D16" w:rsidP="006E055F" w:rsidRDefault="00D15D16" w14:paraId="18F5607B" w14:textId="77777777" w14:noSpellErr="1">
      <w:pPr>
        <w:pStyle w:val="Heading3"/>
        <w:rPr/>
      </w:pPr>
      <w:bookmarkStart w:name="_Toc111401983" w:id="40"/>
      <w:bookmarkStart w:name="_Toc215359608" w:id="2070390627"/>
      <w:r w:rsidR="00D15D16">
        <w:rPr/>
        <w:t>Safeguarding</w:t>
      </w:r>
      <w:bookmarkEnd w:id="40"/>
      <w:bookmarkEnd w:id="2070390627"/>
      <w:r w:rsidR="00D15D16">
        <w:rPr/>
        <w:t xml:space="preserve"> </w:t>
      </w:r>
    </w:p>
    <w:p w:rsidRPr="007E54DC" w:rsidR="00656F91" w:rsidP="00656F91" w:rsidRDefault="00D15D16" w14:paraId="419C3253" w14:textId="6DF7726F">
      <w:r w:rsidRPr="2CBED01F">
        <w:rPr>
          <w:rFonts w:ascii="Calibri" w:hAnsi="Calibri" w:eastAsia="Calibri" w:cs="Calibri"/>
        </w:rPr>
        <w:t xml:space="preserve">Defra have a zero tolerance to non-reporting or mishandling safeguarding cases. </w:t>
      </w:r>
      <w:r w:rsidRPr="2CBED01F" w:rsidR="6AB7FF04">
        <w:rPr>
          <w:rFonts w:ascii="Calibri" w:hAnsi="Calibri" w:eastAsia="Calibri" w:cs="Calibri"/>
        </w:rPr>
        <w:t xml:space="preserve">It is a mandatory responsibility of the delivery partner or organisation that is delivering an ODA funded project, to have appropriate and proportionate safeguarding policies and procedures. </w:t>
      </w:r>
      <w:r w:rsidR="00656F91">
        <w:t>Safeguarding measures will be addressed in the SAA Agreement.</w:t>
      </w:r>
    </w:p>
    <w:p w:rsidRPr="007E54DC" w:rsidR="00656F91" w:rsidP="00D15D16" w:rsidRDefault="00656F91" w14:paraId="2740BA84" w14:textId="4A38340D">
      <w:r w:rsidRPr="007E54DC">
        <w:rPr>
          <w:rFonts w:ascii="Calibri" w:hAnsi="Calibri" w:eastAsia="Calibri" w:cs="Calibri"/>
        </w:rPr>
        <w:t xml:space="preserve">Safeguarding is an organisational risk and therefore measures are required to span all organisational activity where there is direct or indirect contact with people. This activity includes general operations, procurement, programmers, activities, fundraising, communication, recruitment, management, policies and procedures, culture, </w:t>
      </w:r>
      <w:r w:rsidRPr="007E54DC" w:rsidR="003D6893">
        <w:rPr>
          <w:rFonts w:ascii="Calibri" w:hAnsi="Calibri" w:eastAsia="Calibri" w:cs="Calibri"/>
        </w:rPr>
        <w:t>mission,</w:t>
      </w:r>
      <w:r w:rsidRPr="007E54DC">
        <w:rPr>
          <w:rFonts w:ascii="Calibri" w:hAnsi="Calibri" w:eastAsia="Calibri" w:cs="Calibri"/>
        </w:rPr>
        <w:t xml:space="preserve"> and values, etc.  </w:t>
      </w:r>
    </w:p>
    <w:p w:rsidRPr="007E54DC" w:rsidR="00D15D16" w:rsidP="00D15D16" w:rsidRDefault="00D15D16" w14:paraId="76AB9CE8" w14:textId="498C0502">
      <w:r w:rsidRPr="007E54DC">
        <w:t xml:space="preserve">The GFCR Social and Environmental Safeguards Policy applies to the Grant Fund and the Equity Fund. It recognizes that social and environmental risks are an inherent part of programming and project development across both financial vehicles. </w:t>
      </w:r>
    </w:p>
    <w:p w:rsidRPr="007E54DC" w:rsidR="005170AB" w:rsidP="009917FA" w:rsidRDefault="005170AB" w14:paraId="1A9FA957" w14:textId="7F3C6B4F">
      <w:r w:rsidRPr="007E54DC">
        <w:t>The</w:t>
      </w:r>
      <w:r w:rsidRPr="007E54DC" w:rsidR="009917FA">
        <w:t xml:space="preserve"> Environmental and Social Management System</w:t>
      </w:r>
      <w:r w:rsidRPr="007E54DC">
        <w:t xml:space="preserve"> </w:t>
      </w:r>
      <w:r w:rsidRPr="007E54DC" w:rsidR="00536C51">
        <w:t>(</w:t>
      </w:r>
      <w:r w:rsidRPr="007E54DC">
        <w:t>ESMS</w:t>
      </w:r>
      <w:r w:rsidRPr="007E54DC" w:rsidR="00536C51">
        <w:t>)</w:t>
      </w:r>
      <w:r w:rsidRPr="007E54DC">
        <w:t xml:space="preserve"> acts as an Equivalence Assessment Tool that the UN Global Team uses to evaluate a Convening Agent’s approach to dealing with the possible environmental and social risks of its programmes and projects. It focuses on a Convening Agent’s formal environmental and social safeguards policies, </w:t>
      </w:r>
      <w:r w:rsidRPr="007E54DC" w:rsidR="003D6893">
        <w:t>procedures,</w:t>
      </w:r>
      <w:r w:rsidRPr="007E54DC">
        <w:t xml:space="preserve"> and guidelines, along with an evaluation of the agency’s experience with implementation of its safeguards approach.</w:t>
      </w:r>
    </w:p>
    <w:p w:rsidRPr="007E54DC" w:rsidR="005170AB" w:rsidP="005170AB" w:rsidRDefault="005170AB" w14:paraId="7A302C1E" w14:textId="3B1D155E">
      <w:r w:rsidRPr="007E54DC">
        <w:t>The ESMS requires Convening Agents to adhere to performance standards. These standards align with the International Finance Corporation (IFC) and include three additional Standards that are of relevance to the GRCR, notably: gender equality and women’s empowerment; stakeholder engagement; and climate change and disaster risks. Examples of key objectives include:</w:t>
      </w:r>
    </w:p>
    <w:p w:rsidRPr="007E54DC" w:rsidR="005170AB" w:rsidP="006628DE" w:rsidRDefault="005170AB" w14:paraId="25197FF9" w14:textId="0CB89CA2">
      <w:pPr>
        <w:pStyle w:val="ListParagraph"/>
        <w:numPr>
          <w:ilvl w:val="0"/>
          <w:numId w:val="28"/>
        </w:numPr>
        <w:spacing w:after="160" w:line="259" w:lineRule="auto"/>
        <w:textAlignment w:val="auto"/>
      </w:pPr>
      <w:r w:rsidRPr="007E54DC">
        <w:t>Promot</w:t>
      </w:r>
      <w:r w:rsidRPr="007E54DC" w:rsidR="00B4409B">
        <w:t xml:space="preserve">ion of </w:t>
      </w:r>
      <w:r w:rsidRPr="007E54DC">
        <w:t>gender equality and women’s empowerment</w:t>
      </w:r>
    </w:p>
    <w:p w:rsidRPr="007E54DC" w:rsidR="005170AB" w:rsidP="006628DE" w:rsidRDefault="005170AB" w14:paraId="5E4F3DB6" w14:textId="7F8241BD">
      <w:pPr>
        <w:pStyle w:val="ListParagraph"/>
        <w:numPr>
          <w:ilvl w:val="0"/>
          <w:numId w:val="28"/>
        </w:numPr>
        <w:spacing w:after="160" w:line="259" w:lineRule="auto"/>
        <w:textAlignment w:val="auto"/>
      </w:pPr>
      <w:r w:rsidRPr="007E54DC">
        <w:t>Address</w:t>
      </w:r>
      <w:r w:rsidRPr="007E54DC" w:rsidR="00B4409B">
        <w:t>ing</w:t>
      </w:r>
      <w:r w:rsidRPr="007E54DC">
        <w:t xml:space="preserve"> risks of gender-based violence and sexual exploitation, abuse, and harassment </w:t>
      </w:r>
    </w:p>
    <w:p w:rsidRPr="007E54DC" w:rsidR="005170AB" w:rsidP="006628DE" w:rsidRDefault="005170AB" w14:paraId="20FF492F" w14:textId="23D9D2FF">
      <w:pPr>
        <w:pStyle w:val="ListParagraph"/>
        <w:numPr>
          <w:ilvl w:val="0"/>
          <w:numId w:val="28"/>
        </w:numPr>
        <w:spacing w:after="160" w:line="259" w:lineRule="auto"/>
        <w:textAlignment w:val="auto"/>
      </w:pPr>
      <w:r w:rsidRPr="007E54DC">
        <w:t>Ensur</w:t>
      </w:r>
      <w:r w:rsidRPr="007E54DC" w:rsidR="00B4409B">
        <w:t>ing</w:t>
      </w:r>
      <w:r w:rsidRPr="007E54DC">
        <w:t xml:space="preserve"> stakeholders may communicate proposal concerns</w:t>
      </w:r>
    </w:p>
    <w:p w:rsidRPr="007E54DC" w:rsidR="005170AB" w:rsidP="006628DE" w:rsidRDefault="005170AB" w14:paraId="7CA75049" w14:textId="481EA278">
      <w:pPr>
        <w:pStyle w:val="ListParagraph"/>
        <w:numPr>
          <w:ilvl w:val="0"/>
          <w:numId w:val="28"/>
        </w:numPr>
        <w:spacing w:after="160" w:line="259" w:lineRule="auto"/>
        <w:textAlignment w:val="auto"/>
      </w:pPr>
      <w:r w:rsidRPr="007E54DC">
        <w:t>Ensur</w:t>
      </w:r>
      <w:r w:rsidRPr="007E54DC" w:rsidR="00B4409B">
        <w:t>ing</w:t>
      </w:r>
      <w:r w:rsidRPr="007E54DC">
        <w:t xml:space="preserve"> proposals take account of disaster risks</w:t>
      </w:r>
    </w:p>
    <w:p w:rsidRPr="007E54DC" w:rsidR="005170AB" w:rsidP="006628DE" w:rsidRDefault="005170AB" w14:paraId="39BFF3E9" w14:textId="781088D6">
      <w:pPr>
        <w:pStyle w:val="ListParagraph"/>
        <w:numPr>
          <w:ilvl w:val="0"/>
          <w:numId w:val="28"/>
        </w:numPr>
        <w:spacing w:after="160" w:line="259" w:lineRule="auto"/>
        <w:textAlignment w:val="auto"/>
      </w:pPr>
      <w:r w:rsidRPr="007E54DC">
        <w:t>Protect</w:t>
      </w:r>
      <w:r w:rsidRPr="007E54DC" w:rsidR="00B4409B">
        <w:t>ing</w:t>
      </w:r>
      <w:r w:rsidRPr="007E54DC">
        <w:t>, manag</w:t>
      </w:r>
      <w:r w:rsidRPr="007E54DC" w:rsidR="00B4409B">
        <w:t>ing</w:t>
      </w:r>
      <w:r w:rsidRPr="007E54DC">
        <w:t>, and conserv</w:t>
      </w:r>
      <w:r w:rsidRPr="007E54DC" w:rsidR="00B4409B">
        <w:t>ing</w:t>
      </w:r>
      <w:r w:rsidRPr="007E54DC">
        <w:t xml:space="preserve"> cultural heritage</w:t>
      </w:r>
    </w:p>
    <w:p w:rsidRPr="007E54DC" w:rsidR="005170AB" w:rsidP="006628DE" w:rsidRDefault="005170AB" w14:paraId="13FD00FF" w14:textId="3904B802">
      <w:pPr>
        <w:pStyle w:val="ListParagraph"/>
        <w:numPr>
          <w:ilvl w:val="0"/>
          <w:numId w:val="28"/>
        </w:numPr>
        <w:spacing w:after="160" w:line="259" w:lineRule="auto"/>
        <w:textAlignment w:val="auto"/>
      </w:pPr>
      <w:r w:rsidRPr="007E54DC">
        <w:t>Recogniz</w:t>
      </w:r>
      <w:r w:rsidRPr="007E54DC" w:rsidR="00B4409B">
        <w:t>ing</w:t>
      </w:r>
      <w:r w:rsidRPr="007E54DC">
        <w:t xml:space="preserve"> and foster</w:t>
      </w:r>
      <w:r w:rsidRPr="007E54DC" w:rsidR="00B4409B">
        <w:t>ing</w:t>
      </w:r>
      <w:r w:rsidRPr="007E54DC">
        <w:t xml:space="preserve"> full respect for indigenous peoples’ human rights</w:t>
      </w:r>
    </w:p>
    <w:p w:rsidRPr="007E54DC" w:rsidR="005170AB" w:rsidP="006628DE" w:rsidRDefault="005170AB" w14:paraId="6C1BF7D2" w14:textId="0DF9848B">
      <w:pPr>
        <w:pStyle w:val="ListParagraph"/>
        <w:numPr>
          <w:ilvl w:val="0"/>
          <w:numId w:val="28"/>
        </w:numPr>
        <w:spacing w:after="160" w:line="259" w:lineRule="auto"/>
        <w:textAlignment w:val="auto"/>
      </w:pPr>
      <w:r w:rsidRPr="007E54DC">
        <w:t>Eliminat</w:t>
      </w:r>
      <w:r w:rsidRPr="007E54DC" w:rsidR="00B4409B">
        <w:t>ing</w:t>
      </w:r>
      <w:r w:rsidRPr="007E54DC">
        <w:t xml:space="preserve"> all forms of forced labour and prevent</w:t>
      </w:r>
      <w:r w:rsidRPr="007E54DC" w:rsidR="00B4409B">
        <w:t>ion of</w:t>
      </w:r>
      <w:r w:rsidRPr="007E54DC">
        <w:t xml:space="preserve"> child labour</w:t>
      </w:r>
    </w:p>
    <w:p w:rsidRPr="007E54DC" w:rsidR="005170AB" w:rsidP="006628DE" w:rsidRDefault="005170AB" w14:paraId="07FF348B" w14:textId="727F85F8">
      <w:pPr>
        <w:pStyle w:val="ListParagraph"/>
        <w:numPr>
          <w:ilvl w:val="0"/>
          <w:numId w:val="28"/>
        </w:numPr>
        <w:spacing w:after="160" w:line="259" w:lineRule="auto"/>
        <w:textAlignment w:val="auto"/>
      </w:pPr>
      <w:r w:rsidRPr="007E54DC">
        <w:t>Avoid</w:t>
      </w:r>
      <w:r w:rsidRPr="007E54DC" w:rsidR="00B4409B">
        <w:t>ing</w:t>
      </w:r>
      <w:r w:rsidRPr="007E54DC">
        <w:t>/minimiz</w:t>
      </w:r>
      <w:r w:rsidRPr="007E54DC" w:rsidR="00B4409B">
        <w:t>ing</w:t>
      </w:r>
      <w:r w:rsidRPr="007E54DC">
        <w:t xml:space="preserve"> adverse impacts on human health and environment from pollution</w:t>
      </w:r>
    </w:p>
    <w:p w:rsidRPr="007E54DC" w:rsidR="005170AB" w:rsidP="006628DE" w:rsidRDefault="005170AB" w14:paraId="648F78B5" w14:textId="4CD13308">
      <w:pPr>
        <w:pStyle w:val="ListParagraph"/>
        <w:numPr>
          <w:ilvl w:val="0"/>
          <w:numId w:val="28"/>
        </w:numPr>
        <w:spacing w:after="160" w:line="259" w:lineRule="auto"/>
        <w:textAlignment w:val="auto"/>
      </w:pPr>
      <w:r w:rsidRPr="007E54DC">
        <w:t>Promot</w:t>
      </w:r>
      <w:r w:rsidRPr="007E54DC" w:rsidR="00B4409B">
        <w:t>ion of</w:t>
      </w:r>
      <w:r w:rsidRPr="007E54DC">
        <w:t xml:space="preserve"> greater indigenous peoples’ control and management of developments affecting their lands and resource, aligning with their visions and priorities</w:t>
      </w:r>
    </w:p>
    <w:p w:rsidRPr="007E54DC" w:rsidR="00D15D16" w:rsidP="005170AB" w:rsidRDefault="005170AB" w14:paraId="30AF6373" w14:textId="35FB0EC3">
      <w:r w:rsidRPr="007E54DC">
        <w:t xml:space="preserve"> </w:t>
      </w:r>
      <w:r w:rsidRPr="007E54DC" w:rsidR="00D15D16">
        <w:t xml:space="preserve">In the Grant Fund, responsibility for dealing with environmental and social risks is evident at three levels. </w:t>
      </w:r>
    </w:p>
    <w:p w:rsidRPr="007E54DC" w:rsidR="00D15D16" w:rsidP="006628DE" w:rsidRDefault="00D15D16" w14:paraId="5386ED4C" w14:textId="29DE7439">
      <w:pPr>
        <w:pStyle w:val="ListParagraph"/>
        <w:numPr>
          <w:ilvl w:val="1"/>
          <w:numId w:val="18"/>
        </w:numPr>
        <w:spacing w:after="0"/>
      </w:pPr>
      <w:r w:rsidRPr="007E54DC">
        <w:t xml:space="preserve">Co-implementers, including companies financed by the GFCR, are responsible at the first level, where risks and consequent impacts could present themselves during the development of “on-the-ground” interventions and company operations. </w:t>
      </w:r>
    </w:p>
    <w:p w:rsidRPr="007E54DC" w:rsidR="00D15D16" w:rsidP="006628DE" w:rsidRDefault="00D15D16" w14:paraId="644472FC" w14:textId="2B1FA37C">
      <w:pPr>
        <w:pStyle w:val="ListParagraph"/>
        <w:numPr>
          <w:ilvl w:val="1"/>
          <w:numId w:val="18"/>
        </w:numPr>
        <w:spacing w:after="240"/>
      </w:pPr>
      <w:r w:rsidRPr="007E54DC">
        <w:t>Convening Agents are responsible for ensuring that co-implementers are properly identifying, assessing, and managing project risks.</w:t>
      </w:r>
    </w:p>
    <w:p w:rsidRPr="007E54DC" w:rsidR="00D15D16" w:rsidP="006628DE" w:rsidRDefault="00D15D16" w14:paraId="7D02413F" w14:textId="393F9327">
      <w:pPr>
        <w:pStyle w:val="ListParagraph"/>
        <w:numPr>
          <w:ilvl w:val="1"/>
          <w:numId w:val="18"/>
        </w:numPr>
        <w:spacing w:after="240"/>
      </w:pPr>
      <w:r w:rsidRPr="007E54DC">
        <w:t xml:space="preserve"> The UN Global Team is responsible for ensuring that Convening Agents have properly assessed the safeguards work of their co-implementers.</w:t>
      </w:r>
    </w:p>
    <w:p w:rsidRPr="007E54DC" w:rsidR="00D07146" w:rsidP="00D07146" w:rsidRDefault="00D07146" w14:paraId="70DB92E8" w14:textId="459F9749" w14:noSpellErr="1">
      <w:pPr>
        <w:pStyle w:val="Heading3"/>
        <w:rPr/>
      </w:pPr>
      <w:bookmarkStart w:name="_Toc326870986" w:id="868908728"/>
      <w:r w:rsidR="00D07146">
        <w:rPr/>
        <w:t>Paris alignment</w:t>
      </w:r>
      <w:bookmarkEnd w:id="868908728"/>
    </w:p>
    <w:p w:rsidRPr="007E54DC" w:rsidR="00B41F56" w:rsidP="1B7064C8" w:rsidRDefault="3DA1C5ED" w14:paraId="2C382352" w14:textId="7240B0A2">
      <w:pPr>
        <w:rPr>
          <w:rFonts w:ascii="Calibri" w:hAnsi="Calibri" w:eastAsia="Calibri" w:cs="Calibri"/>
        </w:rPr>
      </w:pPr>
      <w:r w:rsidRPr="007E54DC">
        <w:rPr>
          <w:rFonts w:ascii="Calibri" w:hAnsi="Calibri" w:eastAsia="Calibri" w:cs="Calibri"/>
        </w:rPr>
        <w:t>In line with the</w:t>
      </w:r>
      <w:r w:rsidRPr="007E54DC" w:rsidR="00CA4027">
        <w:rPr>
          <w:rFonts w:ascii="Calibri" w:hAnsi="Calibri" w:eastAsia="Calibri" w:cs="Calibri"/>
        </w:rPr>
        <w:t xml:space="preserve"> FCDO</w:t>
      </w:r>
      <w:r w:rsidRPr="007E54DC">
        <w:rPr>
          <w:rFonts w:ascii="Calibri" w:hAnsi="Calibri" w:eastAsia="Calibri" w:cs="Calibri"/>
        </w:rPr>
        <w:t xml:space="preserve"> Programme Operating Framework (</w:t>
      </w:r>
      <w:proofErr w:type="spellStart"/>
      <w:r w:rsidRPr="007E54DC">
        <w:rPr>
          <w:rFonts w:ascii="Calibri" w:hAnsi="Calibri" w:eastAsia="Calibri" w:cs="Calibri"/>
        </w:rPr>
        <w:t>PrOF</w:t>
      </w:r>
      <w:proofErr w:type="spellEnd"/>
      <w:r w:rsidRPr="007E54DC">
        <w:rPr>
          <w:rFonts w:ascii="Calibri" w:hAnsi="Calibri" w:eastAsia="Calibri" w:cs="Calibri"/>
        </w:rPr>
        <w:t>)</w:t>
      </w:r>
      <w:r w:rsidRPr="007E54DC" w:rsidR="00347045">
        <w:rPr>
          <w:rFonts w:ascii="Arial" w:hAnsi="Arial" w:cs="Arial"/>
          <w:color w:val="0B0C0C"/>
          <w:sz w:val="29"/>
          <w:szCs w:val="29"/>
          <w:shd w:val="clear" w:color="auto" w:fill="FFFFFF"/>
        </w:rPr>
        <w:t xml:space="preserve"> </w:t>
      </w:r>
      <w:r w:rsidRPr="007E54DC" w:rsidR="00347045">
        <w:rPr>
          <w:rFonts w:cstheme="minorHAnsi"/>
          <w:color w:val="0B0C0C"/>
          <w:shd w:val="clear" w:color="auto" w:fill="FFFFFF"/>
        </w:rPr>
        <w:t>which sets out mandatory rules and guiding principles for the implementation of policy programming</w:t>
      </w:r>
      <w:r w:rsidRPr="007E54DC">
        <w:rPr>
          <w:rFonts w:ascii="Calibri" w:hAnsi="Calibri" w:eastAsia="Calibri" w:cs="Calibri"/>
        </w:rPr>
        <w:t>, the GFCR aligns with the Paris Agreement and will deliver high positive impacts for the climate, nature, and biodiversity by providing financing to developing countries to mitigate climate change, strengthen resilience and enhance abilities to adapt to climate impacts</w:t>
      </w:r>
      <w:r w:rsidRPr="007E54DC" w:rsidR="00347045">
        <w:rPr>
          <w:rFonts w:ascii="Calibri" w:hAnsi="Calibri" w:eastAsia="Calibri" w:cs="Calibri"/>
        </w:rPr>
        <w:t>.</w:t>
      </w:r>
      <w:r w:rsidRPr="007E54DC">
        <w:rPr>
          <w:rFonts w:ascii="Calibri" w:hAnsi="Calibri" w:eastAsia="Calibri" w:cs="Calibri"/>
        </w:rPr>
        <w:t xml:space="preserve">  </w:t>
      </w:r>
      <w:r w:rsidRPr="007E54DC" w:rsidR="00347045">
        <w:rPr>
          <w:rFonts w:ascii="Calibri" w:hAnsi="Calibri" w:eastAsia="Calibri" w:cs="Calibri"/>
        </w:rPr>
        <w:t>T</w:t>
      </w:r>
      <w:r w:rsidRPr="007E54DC">
        <w:rPr>
          <w:rFonts w:ascii="Calibri" w:hAnsi="Calibri" w:eastAsia="Calibri" w:cs="Calibri"/>
        </w:rPr>
        <w:t xml:space="preserve">he GFCR </w:t>
      </w:r>
      <w:r w:rsidRPr="007E54DC" w:rsidR="7AE746DD">
        <w:rPr>
          <w:rStyle w:val="normaltextrun"/>
        </w:rPr>
        <w:t>promote</w:t>
      </w:r>
      <w:r w:rsidRPr="007E54DC" w:rsidR="36CF1072">
        <w:rPr>
          <w:rStyle w:val="normaltextrun"/>
        </w:rPr>
        <w:t>s</w:t>
      </w:r>
      <w:r w:rsidRPr="007E54DC" w:rsidR="7AE746DD">
        <w:rPr>
          <w:rStyle w:val="normaltextrun"/>
        </w:rPr>
        <w:t xml:space="preserve"> a ‘protect-transform-restore-recover’ approach to preserve coral reefs, in addition to </w:t>
      </w:r>
      <w:r w:rsidRPr="007E54DC">
        <w:rPr>
          <w:rFonts w:ascii="Calibri" w:hAnsi="Calibri" w:eastAsia="Calibri" w:cs="Calibri"/>
        </w:rPr>
        <w:t xml:space="preserve">the utilising blended finance mechanism to leverage funding to enhance resilience of coral reef ecosystems and communities. </w:t>
      </w:r>
    </w:p>
    <w:p w:rsidRPr="007E54DC" w:rsidR="00CB1693" w:rsidP="00C92CBA" w:rsidRDefault="00C67AA1" w14:paraId="025AF004" w14:textId="13CB0E90" w14:noSpellErr="1">
      <w:pPr>
        <w:pStyle w:val="Heading3"/>
        <w:rPr>
          <w:rFonts w:eastAsia="Calibri"/>
        </w:rPr>
      </w:pPr>
      <w:bookmarkStart w:name="_Toc494083452" w:id="1752771725"/>
      <w:r w:rsidRPr="6EF7DA90" w:rsidR="00C67AA1">
        <w:rPr>
          <w:rFonts w:eastAsia="Calibri"/>
        </w:rPr>
        <w:t>Communication</w:t>
      </w:r>
      <w:bookmarkEnd w:id="1752771725"/>
    </w:p>
    <w:p w:rsidRPr="007E54DC" w:rsidR="009E01A3" w:rsidP="009E01A3" w:rsidRDefault="0059188B" w14:paraId="77AA6AEC" w14:textId="791133B9">
      <w:pPr>
        <w:pStyle w:val="NormalWeb"/>
        <w:spacing w:line="276" w:lineRule="auto"/>
        <w:jc w:val="both"/>
      </w:pPr>
      <w:r w:rsidRPr="007E54DC">
        <w:rPr>
          <w:rFonts w:asciiTheme="minorHAnsi" w:hAnsiTheme="minorHAnsi" w:cstheme="minorHAnsi"/>
        </w:rPr>
        <w:t xml:space="preserve">The GFCR maintains a strong external communications presence, but </w:t>
      </w:r>
      <w:r w:rsidRPr="007E54DC" w:rsidR="00BB2AD4">
        <w:rPr>
          <w:rFonts w:asciiTheme="minorHAnsi" w:hAnsiTheme="minorHAnsi" w:cstheme="minorHAnsi"/>
        </w:rPr>
        <w:t xml:space="preserve">given the size, </w:t>
      </w:r>
      <w:r w:rsidRPr="007E54DC">
        <w:rPr>
          <w:rFonts w:asciiTheme="minorHAnsi" w:hAnsiTheme="minorHAnsi" w:cstheme="minorHAnsi"/>
        </w:rPr>
        <w:t xml:space="preserve">this proposed uplift also </w:t>
      </w:r>
      <w:r w:rsidRPr="007E54DC" w:rsidR="00BB2AD4">
        <w:rPr>
          <w:rFonts w:asciiTheme="minorHAnsi" w:hAnsiTheme="minorHAnsi" w:cstheme="minorHAnsi"/>
        </w:rPr>
        <w:t xml:space="preserve">necessitates </w:t>
      </w:r>
      <w:r w:rsidRPr="007E54DC">
        <w:rPr>
          <w:rFonts w:asciiTheme="minorHAnsi" w:hAnsiTheme="minorHAnsi" w:cstheme="minorHAnsi"/>
        </w:rPr>
        <w:t xml:space="preserve">increased internal HMG communications to ensure FCDO Post are sighted on projects that have been approved by the Executive Board. </w:t>
      </w:r>
      <w:r w:rsidRPr="007E54DC" w:rsidR="00835775">
        <w:rPr>
          <w:rFonts w:asciiTheme="minorHAnsi" w:hAnsiTheme="minorHAnsi" w:cstheme="minorHAnsi"/>
        </w:rPr>
        <w:t>As part of the BPF communication plan,</w:t>
      </w:r>
      <w:r w:rsidRPr="007E54DC" w:rsidR="00C67AA1">
        <w:rPr>
          <w:rFonts w:asciiTheme="minorHAnsi" w:hAnsiTheme="minorHAnsi" w:cstheme="minorHAnsi"/>
        </w:rPr>
        <w:t xml:space="preserve"> high level updates for key British Embassy posts in project countries regarding GFCR activities</w:t>
      </w:r>
      <w:r w:rsidRPr="007E54DC" w:rsidR="00835775">
        <w:rPr>
          <w:rFonts w:asciiTheme="minorHAnsi" w:hAnsiTheme="minorHAnsi" w:cstheme="minorHAnsi"/>
        </w:rPr>
        <w:t xml:space="preserve"> will be produced</w:t>
      </w:r>
      <w:r w:rsidRPr="007E54DC" w:rsidR="00C67AA1">
        <w:rPr>
          <w:rFonts w:asciiTheme="minorHAnsi" w:hAnsiTheme="minorHAnsi" w:cstheme="minorHAnsi"/>
        </w:rPr>
        <w:t>.</w:t>
      </w:r>
      <w:r w:rsidRPr="007E54DC" w:rsidR="009E01A3">
        <w:t xml:space="preserve"> The BPF communications plan and strategy is currently in development and will ensure that all internal and external stakeholders are supplied with</w:t>
      </w:r>
      <w:r w:rsidRPr="007E54DC" w:rsidR="009E01A3">
        <w:rPr>
          <w:rStyle w:val="cf01"/>
        </w:rPr>
        <w:t xml:space="preserve"> updates on BPF activities and that communications are disseminated according to ODA guidance, as well as, coordinated to support wider HMG strategic aims. The BPF website will be updated on a quarterly basis. Each stage of the communications plan will be approved by the Blue Planet Fund Joint Management Board.  </w:t>
      </w:r>
    </w:p>
    <w:p w:rsidRPr="007E54DC" w:rsidR="00C67AA1" w:rsidP="009E01A3" w:rsidRDefault="00835775" w14:paraId="72215CD5" w14:textId="7766D5CC">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7E54DC">
        <w:rPr>
          <w:rFonts w:asciiTheme="minorHAnsi" w:hAnsiTheme="minorHAnsi" w:cstheme="minorHAnsi"/>
          <w:sz w:val="22"/>
          <w:szCs w:val="22"/>
        </w:rPr>
        <w:t>In addition, the Defra GFCR programme team will issue o</w:t>
      </w:r>
      <w:r w:rsidRPr="007E54DC" w:rsidR="00454927">
        <w:rPr>
          <w:rFonts w:asciiTheme="minorHAnsi" w:hAnsiTheme="minorHAnsi" w:cstheme="minorHAnsi"/>
          <w:sz w:val="22"/>
          <w:szCs w:val="22"/>
        </w:rPr>
        <w:t>ne primary communication note to all FCDO Posts following the publication of each of Defra’s GFCR Annual Reviews. A high-level summary will be provided, in addition to a hard copy of the published review for further information. In addition, quarterly read outs from the executive board meetings will be provided to Posts where their country project is discussed. Ad hoc comms may be issued throughout the year following plans for announcements and further pledges of UK support.</w:t>
      </w:r>
      <w:r w:rsidRPr="007E54DC" w:rsidR="009E01A3">
        <w:rPr>
          <w:rFonts w:asciiTheme="minorHAnsi" w:hAnsiTheme="minorHAnsi" w:cstheme="minorHAnsi"/>
          <w:sz w:val="22"/>
          <w:szCs w:val="22"/>
        </w:rPr>
        <w:t xml:space="preserve"> </w:t>
      </w:r>
      <w:r w:rsidRPr="007E54DC" w:rsidR="00454927">
        <w:rPr>
          <w:rFonts w:asciiTheme="minorHAnsi" w:hAnsiTheme="minorHAnsi" w:cstheme="minorHAnsi"/>
          <w:sz w:val="22"/>
          <w:szCs w:val="22"/>
        </w:rPr>
        <w:t xml:space="preserve">This communication strategy provides a streamlined cross-Fund outlook, providing information not only on specific projects but also the wider developments/projects of the GFCR; </w:t>
      </w:r>
      <w:r w:rsidRPr="007E54DC" w:rsidR="00C67AA1">
        <w:rPr>
          <w:rFonts w:asciiTheme="minorHAnsi" w:hAnsiTheme="minorHAnsi" w:cstheme="minorHAnsi"/>
          <w:sz w:val="22"/>
          <w:szCs w:val="22"/>
        </w:rPr>
        <w:t xml:space="preserve">Post colleagues </w:t>
      </w:r>
      <w:r w:rsidRPr="007E54DC" w:rsidR="0059188B">
        <w:rPr>
          <w:rFonts w:asciiTheme="minorHAnsi" w:hAnsiTheme="minorHAnsi" w:cstheme="minorHAnsi"/>
          <w:sz w:val="22"/>
          <w:szCs w:val="22"/>
        </w:rPr>
        <w:t xml:space="preserve">will be able to use </w:t>
      </w:r>
      <w:r w:rsidRPr="007E54DC" w:rsidR="00C67AA1">
        <w:rPr>
          <w:rFonts w:asciiTheme="minorHAnsi" w:hAnsiTheme="minorHAnsi" w:cstheme="minorHAnsi"/>
          <w:sz w:val="22"/>
          <w:szCs w:val="22"/>
        </w:rPr>
        <w:t>this information for internal awareness and external engagements</w:t>
      </w:r>
      <w:r w:rsidRPr="007E54DC" w:rsidR="00BB2AD4">
        <w:rPr>
          <w:rFonts w:asciiTheme="minorHAnsi" w:hAnsiTheme="minorHAnsi" w:cstheme="minorHAnsi"/>
          <w:sz w:val="22"/>
          <w:szCs w:val="22"/>
        </w:rPr>
        <w:t>, and feedback on its effectiveness.</w:t>
      </w:r>
    </w:p>
    <w:p w:rsidRPr="007E54DC" w:rsidR="009E01A3" w:rsidP="009E01A3" w:rsidRDefault="009E01A3" w14:paraId="3F24E108" w14:textId="77777777">
      <w:pPr>
        <w:pStyle w:val="paragraph"/>
        <w:spacing w:before="0" w:beforeAutospacing="0" w:after="0" w:afterAutospacing="0" w:line="276" w:lineRule="auto"/>
        <w:jc w:val="both"/>
        <w:textAlignment w:val="baseline"/>
        <w:rPr>
          <w:rFonts w:asciiTheme="minorHAnsi" w:hAnsiTheme="minorHAnsi" w:cstheme="minorHAnsi"/>
          <w:sz w:val="22"/>
          <w:szCs w:val="22"/>
        </w:rPr>
      </w:pPr>
    </w:p>
    <w:p w:rsidRPr="007E54DC" w:rsidR="009E4227" w:rsidP="009E4227" w:rsidRDefault="009E4227" w14:paraId="3C9EA36D" w14:textId="396AB82F" w14:noSpellErr="1">
      <w:pPr>
        <w:pStyle w:val="Heading3"/>
        <w:rPr/>
      </w:pPr>
      <w:bookmarkStart w:name="_Toc259234037" w:id="703807646"/>
      <w:r w:rsidR="009E4227">
        <w:rPr/>
        <w:t>Resourcing</w:t>
      </w:r>
      <w:bookmarkEnd w:id="703807646"/>
    </w:p>
    <w:p w:rsidRPr="007E54DC" w:rsidR="009E01A3" w:rsidP="009E4227" w:rsidRDefault="00CF3946" w14:paraId="57F58A70" w14:textId="7166272A">
      <w:r w:rsidRPr="007E54DC">
        <w:t xml:space="preserve">Within </w:t>
      </w:r>
      <w:r w:rsidRPr="007E54DC" w:rsidR="00796049">
        <w:t>Defra</w:t>
      </w:r>
      <w:r w:rsidRPr="007E54DC">
        <w:t xml:space="preserve">, managing the UK’s contribution, </w:t>
      </w:r>
      <w:r w:rsidRPr="007E54DC" w:rsidR="00796049">
        <w:t xml:space="preserve">including </w:t>
      </w:r>
      <w:r w:rsidRPr="007E54DC" w:rsidR="009E01A3">
        <w:t>influencing,</w:t>
      </w:r>
      <w:r w:rsidRPr="007E54DC">
        <w:t xml:space="preserve"> and participating in key decisions</w:t>
      </w:r>
      <w:r w:rsidRPr="007E54DC" w:rsidR="00796049">
        <w:t xml:space="preserve"> through the EB</w:t>
      </w:r>
      <w:r w:rsidRPr="007E54DC">
        <w:t xml:space="preserve">, will require the below staff dedication (Full Time Equivalent (FTE)). Defra has sufficient </w:t>
      </w:r>
      <w:r w:rsidRPr="007E54DC" w:rsidR="009E01A3">
        <w:t>Front-Line</w:t>
      </w:r>
      <w:r w:rsidRPr="007E54DC">
        <w:t xml:space="preserve"> Delivery (FLD) resources under the current SR to fund staffing cost</w:t>
      </w:r>
      <w:r w:rsidRPr="007E54DC" w:rsidR="00796049">
        <w:t>s</w:t>
      </w:r>
      <w:r w:rsidRPr="007E54DC">
        <w:t xml:space="preserve"> for this uplift. Recruitment is not required as these resources are already in place. </w:t>
      </w:r>
      <w:r w:rsidRPr="007E54DC" w:rsidR="009E4227">
        <w:t xml:space="preserve">We expect current levels of BPF staff to continue </w:t>
      </w:r>
      <w:r w:rsidRPr="007E54DC">
        <w:t>but will take steps to mitigate if staffing numbers are reduced</w:t>
      </w:r>
      <w:r w:rsidRPr="007E54DC" w:rsidR="0057269E">
        <w:t>. We will regularly review staffing pressures in International Blue Finance portfolio management meetings, maintain flexibility across the team to ensure priority work areas are managed effectively and in addition to ensuring familiarity with current HMT recruitment policies.</w:t>
      </w:r>
    </w:p>
    <w:tbl>
      <w:tblPr>
        <w:tblStyle w:val="TableGridLight"/>
        <w:tblW w:w="9493" w:type="dxa"/>
        <w:tblLayout w:type="fixed"/>
        <w:tblLook w:val="04A0" w:firstRow="1" w:lastRow="0" w:firstColumn="1" w:lastColumn="0" w:noHBand="0" w:noVBand="1"/>
      </w:tblPr>
      <w:tblGrid>
        <w:gridCol w:w="1271"/>
        <w:gridCol w:w="1257"/>
        <w:gridCol w:w="595"/>
        <w:gridCol w:w="1074"/>
        <w:gridCol w:w="618"/>
        <w:gridCol w:w="992"/>
        <w:gridCol w:w="709"/>
        <w:gridCol w:w="992"/>
        <w:gridCol w:w="709"/>
        <w:gridCol w:w="1276"/>
      </w:tblGrid>
      <w:tr w:rsidRPr="007E54DC" w:rsidR="00E52FB6" w:rsidTr="000D353E" w14:paraId="5076F81C" w14:textId="77777777">
        <w:trPr>
          <w:trHeight w:val="300"/>
        </w:trPr>
        <w:tc>
          <w:tcPr>
            <w:tcW w:w="1271" w:type="dxa"/>
            <w:vMerge w:val="restart"/>
            <w:shd w:val="clear" w:color="auto" w:fill="D9E2F3" w:themeFill="accent1" w:themeFillTint="33"/>
            <w:noWrap/>
            <w:hideMark/>
          </w:tcPr>
          <w:p w:rsidRPr="007E54DC" w:rsidR="00356051" w:rsidP="00CF3946" w:rsidRDefault="00356051" w14:paraId="363A9447" w14:textId="77777777">
            <w:pPr>
              <w:spacing w:after="0" w:line="240" w:lineRule="auto"/>
              <w:jc w:val="left"/>
              <w:rPr>
                <w:rFonts w:eastAsia="Times New Roman" w:cstheme="minorHAnsi"/>
                <w:sz w:val="20"/>
                <w:szCs w:val="20"/>
                <w:lang w:eastAsia="en-GB"/>
              </w:rPr>
            </w:pPr>
          </w:p>
        </w:tc>
        <w:tc>
          <w:tcPr>
            <w:tcW w:w="1257" w:type="dxa"/>
            <w:vMerge w:val="restart"/>
            <w:shd w:val="clear" w:color="auto" w:fill="D9E2F3" w:themeFill="accent1" w:themeFillTint="33"/>
            <w:hideMark/>
          </w:tcPr>
          <w:p w:rsidRPr="007E54DC" w:rsidR="00356051" w:rsidP="00CF3946" w:rsidRDefault="00356051" w14:paraId="005740BD"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Salary Ready Reckoner</w:t>
            </w:r>
          </w:p>
        </w:tc>
        <w:tc>
          <w:tcPr>
            <w:tcW w:w="1669" w:type="dxa"/>
            <w:gridSpan w:val="2"/>
            <w:shd w:val="clear" w:color="auto" w:fill="D9E2F3" w:themeFill="accent1" w:themeFillTint="33"/>
            <w:noWrap/>
            <w:hideMark/>
          </w:tcPr>
          <w:p w:rsidRPr="007E54DC" w:rsidR="00356051" w:rsidP="00CF3946" w:rsidRDefault="00356051" w14:paraId="2E5B3714"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2022/2023</w:t>
            </w:r>
          </w:p>
        </w:tc>
        <w:tc>
          <w:tcPr>
            <w:tcW w:w="1610" w:type="dxa"/>
            <w:gridSpan w:val="2"/>
            <w:shd w:val="clear" w:color="auto" w:fill="D9E2F3" w:themeFill="accent1" w:themeFillTint="33"/>
            <w:noWrap/>
            <w:hideMark/>
          </w:tcPr>
          <w:p w:rsidRPr="007E54DC" w:rsidR="00356051" w:rsidP="00CF3946" w:rsidRDefault="00356051" w14:paraId="7C5CB861"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2023/2024</w:t>
            </w:r>
          </w:p>
        </w:tc>
        <w:tc>
          <w:tcPr>
            <w:tcW w:w="1701" w:type="dxa"/>
            <w:gridSpan w:val="2"/>
            <w:shd w:val="clear" w:color="auto" w:fill="D9E2F3" w:themeFill="accent1" w:themeFillTint="33"/>
            <w:noWrap/>
            <w:hideMark/>
          </w:tcPr>
          <w:p w:rsidRPr="007E54DC" w:rsidR="00356051" w:rsidP="00CF3946" w:rsidRDefault="00356051" w14:paraId="0C1A5FB9"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2024/2025</w:t>
            </w:r>
          </w:p>
        </w:tc>
        <w:tc>
          <w:tcPr>
            <w:tcW w:w="1985" w:type="dxa"/>
            <w:gridSpan w:val="2"/>
            <w:shd w:val="clear" w:color="auto" w:fill="D9E2F3" w:themeFill="accent1" w:themeFillTint="33"/>
            <w:noWrap/>
            <w:hideMark/>
          </w:tcPr>
          <w:p w:rsidRPr="007E54DC" w:rsidR="00356051" w:rsidP="00CF3946" w:rsidRDefault="00356051" w14:paraId="6AD6E0B2"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Lifetime</w:t>
            </w:r>
          </w:p>
        </w:tc>
      </w:tr>
      <w:tr w:rsidRPr="007E54DC" w:rsidR="007453C3" w:rsidTr="007453C3" w14:paraId="3E9BA470" w14:textId="77777777">
        <w:trPr>
          <w:trHeight w:val="300"/>
        </w:trPr>
        <w:tc>
          <w:tcPr>
            <w:tcW w:w="1271" w:type="dxa"/>
            <w:vMerge/>
            <w:noWrap/>
            <w:hideMark/>
          </w:tcPr>
          <w:p w:rsidRPr="007E54DC" w:rsidR="00356051" w:rsidP="00CF3946" w:rsidRDefault="00356051" w14:paraId="7F19364A" w14:textId="77777777">
            <w:pPr>
              <w:spacing w:after="0" w:line="240" w:lineRule="auto"/>
              <w:jc w:val="center"/>
              <w:rPr>
                <w:rFonts w:eastAsia="Times New Roman" w:cstheme="minorHAnsi"/>
                <w:color w:val="000000"/>
                <w:sz w:val="20"/>
                <w:szCs w:val="20"/>
                <w:lang w:eastAsia="en-GB"/>
              </w:rPr>
            </w:pPr>
          </w:p>
        </w:tc>
        <w:tc>
          <w:tcPr>
            <w:tcW w:w="1257" w:type="dxa"/>
            <w:vMerge/>
            <w:hideMark/>
          </w:tcPr>
          <w:p w:rsidRPr="007E54DC" w:rsidR="00356051" w:rsidP="00CF3946" w:rsidRDefault="00356051" w14:paraId="0544B936" w14:textId="77777777">
            <w:pPr>
              <w:spacing w:after="0" w:line="240" w:lineRule="auto"/>
              <w:jc w:val="left"/>
              <w:rPr>
                <w:rFonts w:eastAsia="Times New Roman" w:cstheme="minorHAnsi"/>
                <w:color w:val="000000"/>
                <w:sz w:val="20"/>
                <w:szCs w:val="20"/>
                <w:lang w:eastAsia="en-GB"/>
              </w:rPr>
            </w:pPr>
          </w:p>
        </w:tc>
        <w:tc>
          <w:tcPr>
            <w:tcW w:w="595" w:type="dxa"/>
            <w:shd w:val="clear" w:color="auto" w:fill="D9E2F3" w:themeFill="accent1" w:themeFillTint="33"/>
            <w:noWrap/>
            <w:hideMark/>
          </w:tcPr>
          <w:p w:rsidRPr="007E54DC" w:rsidR="00356051" w:rsidP="00E52FB6" w:rsidRDefault="00356051" w14:paraId="3881F7B4"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FTE</w:t>
            </w:r>
          </w:p>
        </w:tc>
        <w:tc>
          <w:tcPr>
            <w:tcW w:w="1074" w:type="dxa"/>
            <w:shd w:val="clear" w:color="auto" w:fill="D9E2F3" w:themeFill="accent1" w:themeFillTint="33"/>
            <w:noWrap/>
            <w:hideMark/>
          </w:tcPr>
          <w:p w:rsidRPr="007E54DC" w:rsidR="00356051" w:rsidP="00E52FB6" w:rsidRDefault="00356051" w14:paraId="6D0878D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Cost</w:t>
            </w:r>
          </w:p>
        </w:tc>
        <w:tc>
          <w:tcPr>
            <w:tcW w:w="618" w:type="dxa"/>
            <w:shd w:val="clear" w:color="auto" w:fill="D9E2F3" w:themeFill="accent1" w:themeFillTint="33"/>
            <w:noWrap/>
            <w:hideMark/>
          </w:tcPr>
          <w:p w:rsidRPr="007E54DC" w:rsidR="00356051" w:rsidP="00E52FB6" w:rsidRDefault="00356051" w14:paraId="791203F6"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FTE</w:t>
            </w:r>
          </w:p>
        </w:tc>
        <w:tc>
          <w:tcPr>
            <w:tcW w:w="992" w:type="dxa"/>
            <w:shd w:val="clear" w:color="auto" w:fill="D9E2F3" w:themeFill="accent1" w:themeFillTint="33"/>
            <w:noWrap/>
            <w:hideMark/>
          </w:tcPr>
          <w:p w:rsidRPr="007E54DC" w:rsidR="00356051" w:rsidP="00E52FB6" w:rsidRDefault="00356051" w14:paraId="432EE56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Cost</w:t>
            </w:r>
          </w:p>
        </w:tc>
        <w:tc>
          <w:tcPr>
            <w:tcW w:w="709" w:type="dxa"/>
            <w:shd w:val="clear" w:color="auto" w:fill="D9E2F3" w:themeFill="accent1" w:themeFillTint="33"/>
            <w:noWrap/>
            <w:hideMark/>
          </w:tcPr>
          <w:p w:rsidRPr="007E54DC" w:rsidR="00356051" w:rsidP="00E52FB6" w:rsidRDefault="00356051" w14:paraId="7924B0E8"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FTE</w:t>
            </w:r>
          </w:p>
        </w:tc>
        <w:tc>
          <w:tcPr>
            <w:tcW w:w="992" w:type="dxa"/>
            <w:shd w:val="clear" w:color="auto" w:fill="D9E2F3" w:themeFill="accent1" w:themeFillTint="33"/>
            <w:noWrap/>
            <w:hideMark/>
          </w:tcPr>
          <w:p w:rsidRPr="007E54DC" w:rsidR="00356051" w:rsidP="00E52FB6" w:rsidRDefault="00356051" w14:paraId="0FA3AF77"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Cost</w:t>
            </w:r>
          </w:p>
        </w:tc>
        <w:tc>
          <w:tcPr>
            <w:tcW w:w="709" w:type="dxa"/>
            <w:shd w:val="clear" w:color="auto" w:fill="D9E2F3" w:themeFill="accent1" w:themeFillTint="33"/>
            <w:noWrap/>
            <w:hideMark/>
          </w:tcPr>
          <w:p w:rsidRPr="007E54DC" w:rsidR="00356051" w:rsidP="00E52FB6" w:rsidRDefault="00356051" w14:paraId="158F3363"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FTE</w:t>
            </w:r>
          </w:p>
        </w:tc>
        <w:tc>
          <w:tcPr>
            <w:tcW w:w="1276" w:type="dxa"/>
            <w:shd w:val="clear" w:color="auto" w:fill="D9E2F3" w:themeFill="accent1" w:themeFillTint="33"/>
            <w:noWrap/>
            <w:hideMark/>
          </w:tcPr>
          <w:p w:rsidRPr="007E54DC" w:rsidR="00356051" w:rsidP="00E52FB6" w:rsidRDefault="00356051" w14:paraId="31B3178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Cost</w:t>
            </w:r>
          </w:p>
        </w:tc>
      </w:tr>
      <w:tr w:rsidRPr="007E54DC" w:rsidR="00E52FB6" w:rsidTr="007453C3" w14:paraId="1EBD1B53" w14:textId="77777777">
        <w:trPr>
          <w:trHeight w:val="300"/>
        </w:trPr>
        <w:tc>
          <w:tcPr>
            <w:tcW w:w="1271" w:type="dxa"/>
            <w:noWrap/>
            <w:hideMark/>
          </w:tcPr>
          <w:p w:rsidRPr="007E54DC" w:rsidR="00CF3946" w:rsidP="00CF3946" w:rsidRDefault="00CF3946" w14:paraId="74002E35" w14:textId="77777777">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HEO</w:t>
            </w:r>
          </w:p>
        </w:tc>
        <w:tc>
          <w:tcPr>
            <w:tcW w:w="1257" w:type="dxa"/>
            <w:noWrap/>
            <w:hideMark/>
          </w:tcPr>
          <w:p w:rsidRPr="007E54DC" w:rsidR="00CF3946" w:rsidP="00CF3946" w:rsidRDefault="00CF3946" w14:paraId="45F99912" w14:textId="466B1319">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 xml:space="preserve">£42,614 </w:t>
            </w:r>
          </w:p>
        </w:tc>
        <w:tc>
          <w:tcPr>
            <w:tcW w:w="595" w:type="dxa"/>
            <w:noWrap/>
            <w:hideMark/>
          </w:tcPr>
          <w:p w:rsidRPr="007E54DC" w:rsidR="00CF3946" w:rsidP="00E52FB6" w:rsidRDefault="00CF3946" w14:paraId="13721E16"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0.7</w:t>
            </w:r>
          </w:p>
        </w:tc>
        <w:tc>
          <w:tcPr>
            <w:tcW w:w="1074" w:type="dxa"/>
            <w:noWrap/>
            <w:hideMark/>
          </w:tcPr>
          <w:p w:rsidRPr="007E54DC" w:rsidR="00CF3946" w:rsidP="00E52FB6" w:rsidRDefault="00CF3946" w14:paraId="1BF8DD9A" w14:textId="191C8544">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£29,830</w:t>
            </w:r>
          </w:p>
        </w:tc>
        <w:tc>
          <w:tcPr>
            <w:tcW w:w="618" w:type="dxa"/>
            <w:noWrap/>
            <w:hideMark/>
          </w:tcPr>
          <w:p w:rsidRPr="007E54DC" w:rsidR="00CF3946" w:rsidP="00E52FB6" w:rsidRDefault="00CF3946" w14:paraId="355A2BD9"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0.5</w:t>
            </w:r>
          </w:p>
        </w:tc>
        <w:tc>
          <w:tcPr>
            <w:tcW w:w="992" w:type="dxa"/>
            <w:noWrap/>
            <w:hideMark/>
          </w:tcPr>
          <w:p w:rsidRPr="007E54DC" w:rsidR="00CF3946" w:rsidP="00E52FB6" w:rsidRDefault="00CF3946" w14:paraId="5F50E192" w14:textId="5C2D70B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£21,307</w:t>
            </w:r>
          </w:p>
        </w:tc>
        <w:tc>
          <w:tcPr>
            <w:tcW w:w="709" w:type="dxa"/>
            <w:noWrap/>
            <w:hideMark/>
          </w:tcPr>
          <w:p w:rsidRPr="007E54DC" w:rsidR="00CF3946" w:rsidP="00E52FB6" w:rsidRDefault="00CF3946" w14:paraId="3CEA91A7"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0.5</w:t>
            </w:r>
          </w:p>
        </w:tc>
        <w:tc>
          <w:tcPr>
            <w:tcW w:w="992" w:type="dxa"/>
            <w:noWrap/>
            <w:hideMark/>
          </w:tcPr>
          <w:p w:rsidRPr="007E54DC" w:rsidR="00CF3946" w:rsidP="00E52FB6" w:rsidRDefault="00CF3946" w14:paraId="0DE297ED" w14:textId="6DBDC1FE">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£21,307</w:t>
            </w:r>
          </w:p>
        </w:tc>
        <w:tc>
          <w:tcPr>
            <w:tcW w:w="709" w:type="dxa"/>
            <w:noWrap/>
            <w:hideMark/>
          </w:tcPr>
          <w:p w:rsidRPr="007E54DC" w:rsidR="00CF3946" w:rsidP="00E52FB6" w:rsidRDefault="00CF3946" w14:paraId="48EB13EC"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1.7</w:t>
            </w:r>
          </w:p>
        </w:tc>
        <w:tc>
          <w:tcPr>
            <w:tcW w:w="1276" w:type="dxa"/>
            <w:noWrap/>
            <w:hideMark/>
          </w:tcPr>
          <w:p w:rsidRPr="007E54DC" w:rsidR="00CF3946" w:rsidP="00E52FB6" w:rsidRDefault="00CF3946" w14:paraId="7D6820BE" w14:textId="51F86DE5">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£72,444</w:t>
            </w:r>
          </w:p>
        </w:tc>
      </w:tr>
      <w:tr w:rsidRPr="007E54DC" w:rsidR="00E52FB6" w:rsidTr="007453C3" w14:paraId="126292E0" w14:textId="77777777">
        <w:trPr>
          <w:trHeight w:val="300"/>
        </w:trPr>
        <w:tc>
          <w:tcPr>
            <w:tcW w:w="1271" w:type="dxa"/>
            <w:noWrap/>
            <w:hideMark/>
          </w:tcPr>
          <w:p w:rsidRPr="007E54DC" w:rsidR="00CF3946" w:rsidP="00CF3946" w:rsidRDefault="00CF3946" w14:paraId="57CE1432" w14:textId="77777777">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SEO</w:t>
            </w:r>
          </w:p>
        </w:tc>
        <w:tc>
          <w:tcPr>
            <w:tcW w:w="1257" w:type="dxa"/>
            <w:noWrap/>
            <w:hideMark/>
          </w:tcPr>
          <w:p w:rsidRPr="007E54DC" w:rsidR="00CF3946" w:rsidP="00CF3946" w:rsidRDefault="00CF3946" w14:paraId="17E9A23A" w14:textId="102A6B82">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 xml:space="preserve">£51,772 </w:t>
            </w:r>
          </w:p>
        </w:tc>
        <w:tc>
          <w:tcPr>
            <w:tcW w:w="595" w:type="dxa"/>
            <w:noWrap/>
            <w:hideMark/>
          </w:tcPr>
          <w:p w:rsidRPr="007E54DC" w:rsidR="00CF3946" w:rsidP="00E52FB6" w:rsidRDefault="00CF3946" w14:paraId="7901394C"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1074" w:type="dxa"/>
            <w:noWrap/>
            <w:hideMark/>
          </w:tcPr>
          <w:p w:rsidRPr="007E54DC" w:rsidR="00CF3946" w:rsidP="00E52FB6" w:rsidRDefault="00CF3946" w14:paraId="3F001B96" w14:textId="429CBF29">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£5,177</w:t>
            </w:r>
          </w:p>
        </w:tc>
        <w:tc>
          <w:tcPr>
            <w:tcW w:w="618" w:type="dxa"/>
            <w:noWrap/>
            <w:hideMark/>
          </w:tcPr>
          <w:p w:rsidRPr="007E54DC" w:rsidR="00CF3946" w:rsidP="00E52FB6" w:rsidRDefault="00CF3946" w14:paraId="022F1074"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6296E624" w14:textId="49BB7C43">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£5,177</w:t>
            </w:r>
          </w:p>
        </w:tc>
        <w:tc>
          <w:tcPr>
            <w:tcW w:w="709" w:type="dxa"/>
            <w:noWrap/>
            <w:hideMark/>
          </w:tcPr>
          <w:p w:rsidRPr="007E54DC" w:rsidR="00CF3946" w:rsidP="00E52FB6" w:rsidRDefault="00CF3946" w14:paraId="5207CF2B"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10A3782B" w14:textId="2B58E23F">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£5,177</w:t>
            </w:r>
          </w:p>
        </w:tc>
        <w:tc>
          <w:tcPr>
            <w:tcW w:w="709" w:type="dxa"/>
            <w:noWrap/>
            <w:hideMark/>
          </w:tcPr>
          <w:p w:rsidRPr="007E54DC" w:rsidR="00CF3946" w:rsidP="00E52FB6" w:rsidRDefault="00CF3946" w14:paraId="6A45D166"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0.3</w:t>
            </w:r>
          </w:p>
        </w:tc>
        <w:tc>
          <w:tcPr>
            <w:tcW w:w="1276" w:type="dxa"/>
            <w:noWrap/>
            <w:hideMark/>
          </w:tcPr>
          <w:p w:rsidRPr="007E54DC" w:rsidR="00CF3946" w:rsidP="00E52FB6" w:rsidRDefault="00CF3946" w14:paraId="137F36B6" w14:textId="044BE2FE">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£15,532</w:t>
            </w:r>
          </w:p>
        </w:tc>
      </w:tr>
      <w:tr w:rsidRPr="007E54DC" w:rsidR="00E52FB6" w:rsidTr="007453C3" w14:paraId="32CF2E69" w14:textId="77777777">
        <w:trPr>
          <w:trHeight w:val="300"/>
        </w:trPr>
        <w:tc>
          <w:tcPr>
            <w:tcW w:w="1271" w:type="dxa"/>
            <w:noWrap/>
            <w:hideMark/>
          </w:tcPr>
          <w:p w:rsidRPr="007E54DC" w:rsidR="00CF3946" w:rsidP="00CF3946" w:rsidRDefault="00CF3946" w14:paraId="6AA95C09" w14:textId="77777777">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G7</w:t>
            </w:r>
          </w:p>
        </w:tc>
        <w:tc>
          <w:tcPr>
            <w:tcW w:w="1257" w:type="dxa"/>
            <w:noWrap/>
            <w:hideMark/>
          </w:tcPr>
          <w:p w:rsidRPr="007E54DC" w:rsidR="00CF3946" w:rsidP="00CF3946" w:rsidRDefault="00CF3946" w14:paraId="7E3CBC1A" w14:textId="79F391B9">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 xml:space="preserve">£68,882 </w:t>
            </w:r>
          </w:p>
        </w:tc>
        <w:tc>
          <w:tcPr>
            <w:tcW w:w="595" w:type="dxa"/>
            <w:noWrap/>
            <w:hideMark/>
          </w:tcPr>
          <w:p w:rsidRPr="007E54DC" w:rsidR="00CF3946" w:rsidP="00E52FB6" w:rsidRDefault="00CF3946" w14:paraId="7B0934CB"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0.2</w:t>
            </w:r>
          </w:p>
        </w:tc>
        <w:tc>
          <w:tcPr>
            <w:tcW w:w="1074" w:type="dxa"/>
            <w:noWrap/>
            <w:hideMark/>
          </w:tcPr>
          <w:p w:rsidRPr="007E54DC" w:rsidR="00CF3946" w:rsidP="00E52FB6" w:rsidRDefault="00CF3946" w14:paraId="2B3B399F" w14:textId="6E4FD20F">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£13,776</w:t>
            </w:r>
          </w:p>
        </w:tc>
        <w:tc>
          <w:tcPr>
            <w:tcW w:w="618" w:type="dxa"/>
            <w:noWrap/>
            <w:hideMark/>
          </w:tcPr>
          <w:p w:rsidRPr="007E54DC" w:rsidR="00CF3946" w:rsidP="00E52FB6" w:rsidRDefault="00CF3946" w14:paraId="1A1E5591"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18C5561F" w14:textId="6897E1D4">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£6,888</w:t>
            </w:r>
          </w:p>
        </w:tc>
        <w:tc>
          <w:tcPr>
            <w:tcW w:w="709" w:type="dxa"/>
            <w:noWrap/>
            <w:hideMark/>
          </w:tcPr>
          <w:p w:rsidRPr="007E54DC" w:rsidR="00CF3946" w:rsidP="00E52FB6" w:rsidRDefault="00CF3946" w14:paraId="6585B0C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54DCF553" w14:textId="3C4A2EAB">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£6,888</w:t>
            </w:r>
          </w:p>
        </w:tc>
        <w:tc>
          <w:tcPr>
            <w:tcW w:w="709" w:type="dxa"/>
            <w:noWrap/>
            <w:hideMark/>
          </w:tcPr>
          <w:p w:rsidRPr="007E54DC" w:rsidR="00CF3946" w:rsidP="00E52FB6" w:rsidRDefault="00CF3946" w14:paraId="3BBC6238"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0.4</w:t>
            </w:r>
          </w:p>
        </w:tc>
        <w:tc>
          <w:tcPr>
            <w:tcW w:w="1276" w:type="dxa"/>
            <w:noWrap/>
            <w:hideMark/>
          </w:tcPr>
          <w:p w:rsidRPr="007E54DC" w:rsidR="00CF3946" w:rsidP="00E52FB6" w:rsidRDefault="00CF3946" w14:paraId="4510DBDB" w14:textId="172846A4">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£27,553</w:t>
            </w:r>
          </w:p>
        </w:tc>
      </w:tr>
      <w:tr w:rsidRPr="007E54DC" w:rsidR="00E52FB6" w:rsidTr="007453C3" w14:paraId="56AB3E44" w14:textId="77777777">
        <w:trPr>
          <w:trHeight w:val="300"/>
        </w:trPr>
        <w:tc>
          <w:tcPr>
            <w:tcW w:w="1271" w:type="dxa"/>
            <w:noWrap/>
          </w:tcPr>
          <w:p w:rsidRPr="007E54DC" w:rsidR="00365674" w:rsidP="00CF3946" w:rsidRDefault="00365674" w14:paraId="38EED507" w14:textId="07EC7BD5">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SRO/G6</w:t>
            </w:r>
          </w:p>
        </w:tc>
        <w:tc>
          <w:tcPr>
            <w:tcW w:w="1257" w:type="dxa"/>
            <w:noWrap/>
          </w:tcPr>
          <w:p w:rsidRPr="007E54DC" w:rsidR="00365674" w:rsidP="00CF3946" w:rsidRDefault="00365674" w14:paraId="3D6F376C" w14:textId="0F84A061">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£86,849</w:t>
            </w:r>
          </w:p>
        </w:tc>
        <w:tc>
          <w:tcPr>
            <w:tcW w:w="595" w:type="dxa"/>
            <w:noWrap/>
          </w:tcPr>
          <w:p w:rsidRPr="007E54DC" w:rsidR="00365674" w:rsidP="00E52FB6" w:rsidRDefault="007453C3" w14:paraId="6EAE07D1" w14:textId="19578BD2">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0.05</w:t>
            </w:r>
          </w:p>
        </w:tc>
        <w:tc>
          <w:tcPr>
            <w:tcW w:w="1074" w:type="dxa"/>
            <w:noWrap/>
          </w:tcPr>
          <w:p w:rsidRPr="007E54DC" w:rsidR="00365674" w:rsidP="00E52FB6" w:rsidRDefault="007453C3" w14:paraId="256ED81C" w14:textId="2EAEC3C4">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£4,342</w:t>
            </w:r>
          </w:p>
        </w:tc>
        <w:tc>
          <w:tcPr>
            <w:tcW w:w="618" w:type="dxa"/>
            <w:noWrap/>
          </w:tcPr>
          <w:p w:rsidRPr="007E54DC" w:rsidR="00365674" w:rsidP="00E52FB6" w:rsidRDefault="007453C3" w14:paraId="28657554" w14:textId="56470A3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0.05</w:t>
            </w:r>
          </w:p>
        </w:tc>
        <w:tc>
          <w:tcPr>
            <w:tcW w:w="992" w:type="dxa"/>
            <w:noWrap/>
          </w:tcPr>
          <w:p w:rsidRPr="007E54DC" w:rsidR="00365674" w:rsidP="00E52FB6" w:rsidRDefault="007453C3" w14:paraId="5752D21C" w14:textId="779F4A6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£4,342</w:t>
            </w:r>
          </w:p>
        </w:tc>
        <w:tc>
          <w:tcPr>
            <w:tcW w:w="709" w:type="dxa"/>
            <w:noWrap/>
          </w:tcPr>
          <w:p w:rsidRPr="007E54DC" w:rsidR="00365674" w:rsidP="00E52FB6" w:rsidRDefault="007453C3" w14:paraId="1F5357A9" w14:textId="285392F8">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0.05</w:t>
            </w:r>
          </w:p>
        </w:tc>
        <w:tc>
          <w:tcPr>
            <w:tcW w:w="992" w:type="dxa"/>
            <w:noWrap/>
          </w:tcPr>
          <w:p w:rsidRPr="007E54DC" w:rsidR="00365674" w:rsidP="00E52FB6" w:rsidRDefault="007453C3" w14:paraId="5B56BFEA" w14:textId="4214E33E">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£4,342</w:t>
            </w:r>
          </w:p>
        </w:tc>
        <w:tc>
          <w:tcPr>
            <w:tcW w:w="709" w:type="dxa"/>
            <w:noWrap/>
          </w:tcPr>
          <w:p w:rsidRPr="007E54DC" w:rsidR="00365674" w:rsidP="00E52FB6" w:rsidRDefault="007453C3" w14:paraId="2A0D65D3" w14:textId="561B2C75">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0.0.5</w:t>
            </w:r>
          </w:p>
        </w:tc>
        <w:tc>
          <w:tcPr>
            <w:tcW w:w="1276" w:type="dxa"/>
            <w:noWrap/>
          </w:tcPr>
          <w:p w:rsidRPr="007E54DC" w:rsidR="00365674" w:rsidP="00E52FB6" w:rsidRDefault="007453C3" w14:paraId="5F08261E" w14:textId="10344926">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£4,342</w:t>
            </w:r>
          </w:p>
        </w:tc>
      </w:tr>
      <w:tr w:rsidRPr="007E54DC" w:rsidR="00E52FB6" w:rsidTr="007453C3" w14:paraId="002F7AB4" w14:textId="77777777">
        <w:trPr>
          <w:trHeight w:val="300"/>
        </w:trPr>
        <w:tc>
          <w:tcPr>
            <w:tcW w:w="1271" w:type="dxa"/>
            <w:noWrap/>
            <w:hideMark/>
          </w:tcPr>
          <w:p w:rsidRPr="007E54DC" w:rsidR="00CF3946" w:rsidP="00CF3946" w:rsidRDefault="00CF3946" w14:paraId="5134416B" w14:textId="64BF473B">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Eco</w:t>
            </w:r>
            <w:r w:rsidRPr="007E54DC" w:rsidR="00E52FB6">
              <w:rPr>
                <w:rFonts w:eastAsia="Times New Roman" w:cstheme="minorHAnsi"/>
                <w:color w:val="000000"/>
                <w:sz w:val="20"/>
                <w:szCs w:val="20"/>
                <w:lang w:eastAsia="en-GB"/>
              </w:rPr>
              <w:t xml:space="preserve">n </w:t>
            </w:r>
            <w:r w:rsidRPr="007E54DC">
              <w:rPr>
                <w:rFonts w:eastAsia="Times New Roman" w:cstheme="minorHAnsi"/>
                <w:color w:val="000000"/>
                <w:sz w:val="20"/>
                <w:szCs w:val="20"/>
                <w:lang w:eastAsia="en-GB"/>
              </w:rPr>
              <w:t>(HEO)</w:t>
            </w:r>
          </w:p>
        </w:tc>
        <w:tc>
          <w:tcPr>
            <w:tcW w:w="1257" w:type="dxa"/>
            <w:noWrap/>
            <w:hideMark/>
          </w:tcPr>
          <w:p w:rsidRPr="007E54DC" w:rsidR="00CF3946" w:rsidP="00CF3946" w:rsidRDefault="00CF3946" w14:paraId="5CBE8674" w14:textId="14C87AC1">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 xml:space="preserve">£42,614 </w:t>
            </w:r>
          </w:p>
        </w:tc>
        <w:tc>
          <w:tcPr>
            <w:tcW w:w="595" w:type="dxa"/>
            <w:noWrap/>
            <w:hideMark/>
          </w:tcPr>
          <w:p w:rsidRPr="007E54DC" w:rsidR="00CF3946" w:rsidP="00E52FB6" w:rsidRDefault="00CF3946" w14:paraId="1438EF27"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1074" w:type="dxa"/>
            <w:noWrap/>
            <w:hideMark/>
          </w:tcPr>
          <w:p w:rsidRPr="007E54DC" w:rsidR="00CF3946" w:rsidP="00E52FB6" w:rsidRDefault="00CF3946" w14:paraId="673B6AEE" w14:textId="7F2AC3F6">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£4,261</w:t>
            </w:r>
          </w:p>
        </w:tc>
        <w:tc>
          <w:tcPr>
            <w:tcW w:w="618" w:type="dxa"/>
            <w:noWrap/>
            <w:hideMark/>
          </w:tcPr>
          <w:p w:rsidRPr="007E54DC" w:rsidR="00CF3946" w:rsidP="00E52FB6" w:rsidRDefault="00CF3946" w14:paraId="6D821C67"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3388837F" w14:textId="4A365B2F">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£4,261</w:t>
            </w:r>
          </w:p>
        </w:tc>
        <w:tc>
          <w:tcPr>
            <w:tcW w:w="709" w:type="dxa"/>
            <w:noWrap/>
            <w:hideMark/>
          </w:tcPr>
          <w:p w:rsidRPr="007E54DC" w:rsidR="00CF3946" w:rsidP="00E52FB6" w:rsidRDefault="00CF3946" w14:paraId="17295E27"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290DCECB" w14:textId="2F189573">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£4,261</w:t>
            </w:r>
          </w:p>
        </w:tc>
        <w:tc>
          <w:tcPr>
            <w:tcW w:w="709" w:type="dxa"/>
            <w:noWrap/>
            <w:hideMark/>
          </w:tcPr>
          <w:p w:rsidRPr="007E54DC" w:rsidR="00CF3946" w:rsidP="00E52FB6" w:rsidRDefault="00CF3946" w14:paraId="11C3064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0.3</w:t>
            </w:r>
          </w:p>
        </w:tc>
        <w:tc>
          <w:tcPr>
            <w:tcW w:w="1276" w:type="dxa"/>
            <w:noWrap/>
            <w:hideMark/>
          </w:tcPr>
          <w:p w:rsidRPr="007E54DC" w:rsidR="00CF3946" w:rsidP="00E52FB6" w:rsidRDefault="00CF3946" w14:paraId="01D5BFE6" w14:textId="36224CB8">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£12,784</w:t>
            </w:r>
          </w:p>
        </w:tc>
      </w:tr>
      <w:tr w:rsidRPr="007E54DC" w:rsidR="00E52FB6" w:rsidTr="007453C3" w14:paraId="65322B99" w14:textId="77777777">
        <w:trPr>
          <w:trHeight w:val="300"/>
        </w:trPr>
        <w:tc>
          <w:tcPr>
            <w:tcW w:w="1271" w:type="dxa"/>
            <w:noWrap/>
            <w:hideMark/>
          </w:tcPr>
          <w:p w:rsidRPr="007E54DC" w:rsidR="00CF3946" w:rsidP="00CF3946" w:rsidRDefault="00CF3946" w14:paraId="3882FBF3" w14:textId="77777777">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MEL (G7)</w:t>
            </w:r>
          </w:p>
        </w:tc>
        <w:tc>
          <w:tcPr>
            <w:tcW w:w="1257" w:type="dxa"/>
            <w:noWrap/>
            <w:hideMark/>
          </w:tcPr>
          <w:p w:rsidRPr="007E54DC" w:rsidR="00CF3946" w:rsidP="00CF3946" w:rsidRDefault="00CF3946" w14:paraId="1408585D" w14:textId="6A19FB54">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 xml:space="preserve">£68,882 </w:t>
            </w:r>
          </w:p>
        </w:tc>
        <w:tc>
          <w:tcPr>
            <w:tcW w:w="595" w:type="dxa"/>
            <w:noWrap/>
            <w:hideMark/>
          </w:tcPr>
          <w:p w:rsidRPr="007E54DC" w:rsidR="00CF3946" w:rsidP="00E52FB6" w:rsidRDefault="00CF3946" w14:paraId="1F32AF1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0.2</w:t>
            </w:r>
          </w:p>
        </w:tc>
        <w:tc>
          <w:tcPr>
            <w:tcW w:w="1074" w:type="dxa"/>
            <w:noWrap/>
            <w:hideMark/>
          </w:tcPr>
          <w:p w:rsidRPr="007E54DC" w:rsidR="00CF3946" w:rsidP="00E52FB6" w:rsidRDefault="00CF3946" w14:paraId="7674E8BD" w14:textId="5CE60828">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£13,776</w:t>
            </w:r>
          </w:p>
        </w:tc>
        <w:tc>
          <w:tcPr>
            <w:tcW w:w="618" w:type="dxa"/>
            <w:noWrap/>
            <w:hideMark/>
          </w:tcPr>
          <w:p w:rsidRPr="007E54DC" w:rsidR="00CF3946" w:rsidP="00E52FB6" w:rsidRDefault="00CF3946" w14:paraId="7E118880"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01AEA1CC" w14:textId="7C7EAC0A">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£6,888</w:t>
            </w:r>
          </w:p>
        </w:tc>
        <w:tc>
          <w:tcPr>
            <w:tcW w:w="709" w:type="dxa"/>
            <w:noWrap/>
            <w:hideMark/>
          </w:tcPr>
          <w:p w:rsidRPr="007E54DC" w:rsidR="00CF3946" w:rsidP="00E52FB6" w:rsidRDefault="00CF3946" w14:paraId="2381B600"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422FDBE5" w14:textId="2C9FAACE">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£6,888</w:t>
            </w:r>
          </w:p>
        </w:tc>
        <w:tc>
          <w:tcPr>
            <w:tcW w:w="709" w:type="dxa"/>
            <w:noWrap/>
            <w:hideMark/>
          </w:tcPr>
          <w:p w:rsidRPr="007E54DC" w:rsidR="00CF3946" w:rsidP="00E52FB6" w:rsidRDefault="00CF3946" w14:paraId="4113AC05"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0.4</w:t>
            </w:r>
          </w:p>
        </w:tc>
        <w:tc>
          <w:tcPr>
            <w:tcW w:w="1276" w:type="dxa"/>
            <w:noWrap/>
            <w:hideMark/>
          </w:tcPr>
          <w:p w:rsidRPr="007E54DC" w:rsidR="00CF3946" w:rsidP="00E52FB6" w:rsidRDefault="00CF3946" w14:paraId="2ABB0EC3" w14:textId="3390DA8D">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£27,553</w:t>
            </w:r>
          </w:p>
        </w:tc>
      </w:tr>
      <w:tr w:rsidRPr="007E54DC" w:rsidR="00E52FB6" w:rsidTr="007453C3" w14:paraId="78F1E1DF" w14:textId="77777777">
        <w:trPr>
          <w:trHeight w:val="300"/>
        </w:trPr>
        <w:tc>
          <w:tcPr>
            <w:tcW w:w="1271" w:type="dxa"/>
            <w:noWrap/>
            <w:hideMark/>
          </w:tcPr>
          <w:p w:rsidRPr="007E54DC" w:rsidR="00CF3946" w:rsidP="00CF3946" w:rsidRDefault="00CF3946" w14:paraId="50BF87D7" w14:textId="77777777">
            <w:pPr>
              <w:spacing w:after="0" w:line="240" w:lineRule="auto"/>
              <w:jc w:val="left"/>
              <w:rPr>
                <w:rFonts w:eastAsia="Times New Roman" w:cstheme="minorHAnsi"/>
                <w:color w:val="000000"/>
                <w:sz w:val="20"/>
                <w:szCs w:val="20"/>
                <w:lang w:eastAsia="en-GB"/>
              </w:rPr>
            </w:pPr>
          </w:p>
        </w:tc>
        <w:tc>
          <w:tcPr>
            <w:tcW w:w="1257" w:type="dxa"/>
            <w:noWrap/>
            <w:hideMark/>
          </w:tcPr>
          <w:p w:rsidRPr="007E54DC" w:rsidR="00CF3946" w:rsidP="7FBCB512" w:rsidRDefault="00CF3946" w14:paraId="5ECB153A" w14:textId="77777777">
            <w:pPr>
              <w:spacing w:after="0" w:line="240" w:lineRule="auto"/>
              <w:jc w:val="left"/>
              <w:rPr>
                <w:rFonts w:eastAsia="Times New Roman"/>
                <w:b/>
                <w:bCs/>
                <w:color w:val="000000"/>
                <w:sz w:val="20"/>
                <w:szCs w:val="20"/>
                <w:lang w:eastAsia="en-GB"/>
              </w:rPr>
            </w:pPr>
            <w:r w:rsidRPr="007E54DC">
              <w:rPr>
                <w:rFonts w:eastAsia="Times New Roman"/>
                <w:b/>
                <w:bCs/>
                <w:color w:val="000000" w:themeColor="text1"/>
                <w:sz w:val="20"/>
                <w:szCs w:val="20"/>
                <w:lang w:eastAsia="en-GB"/>
              </w:rPr>
              <w:t>TOTALS</w:t>
            </w:r>
          </w:p>
        </w:tc>
        <w:tc>
          <w:tcPr>
            <w:tcW w:w="595" w:type="dxa"/>
            <w:noWrap/>
            <w:hideMark/>
          </w:tcPr>
          <w:p w:rsidRPr="007E54DC" w:rsidR="00CF3946" w:rsidP="00E52FB6" w:rsidRDefault="00CF3946" w14:paraId="2FFA2EE8" w14:textId="77777777">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1.3</w:t>
            </w:r>
          </w:p>
        </w:tc>
        <w:tc>
          <w:tcPr>
            <w:tcW w:w="1074" w:type="dxa"/>
            <w:noWrap/>
            <w:hideMark/>
          </w:tcPr>
          <w:p w:rsidRPr="007E54DC" w:rsidR="00CF3946" w:rsidP="00E52FB6" w:rsidRDefault="00CF3946" w14:paraId="2BE65625" w14:textId="2D4A784A">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w:t>
            </w:r>
            <w:r w:rsidRPr="007E54DC" w:rsidR="007453C3">
              <w:rPr>
                <w:rFonts w:eastAsia="Times New Roman" w:cstheme="minorHAnsi"/>
                <w:b/>
                <w:bCs/>
                <w:color w:val="000000"/>
                <w:sz w:val="20"/>
                <w:szCs w:val="20"/>
                <w:lang w:eastAsia="en-GB"/>
              </w:rPr>
              <w:t>71,163</w:t>
            </w:r>
          </w:p>
        </w:tc>
        <w:tc>
          <w:tcPr>
            <w:tcW w:w="618" w:type="dxa"/>
            <w:noWrap/>
            <w:hideMark/>
          </w:tcPr>
          <w:p w:rsidRPr="007E54DC" w:rsidR="00CF3946" w:rsidP="00E52FB6" w:rsidRDefault="00CF3946" w14:paraId="3E839771" w14:textId="77777777">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0.9</w:t>
            </w:r>
          </w:p>
        </w:tc>
        <w:tc>
          <w:tcPr>
            <w:tcW w:w="992" w:type="dxa"/>
            <w:noWrap/>
            <w:hideMark/>
          </w:tcPr>
          <w:p w:rsidRPr="007E54DC" w:rsidR="00CF3946" w:rsidP="00E52FB6" w:rsidRDefault="00CF3946" w14:paraId="5955A743" w14:textId="0F68F6F7">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£4</w:t>
            </w:r>
            <w:r w:rsidRPr="007E54DC" w:rsidR="007453C3">
              <w:rPr>
                <w:rFonts w:eastAsia="Times New Roman" w:cstheme="minorHAnsi"/>
                <w:b/>
                <w:bCs/>
                <w:color w:val="000000"/>
                <w:sz w:val="20"/>
                <w:szCs w:val="20"/>
                <w:lang w:eastAsia="en-GB"/>
              </w:rPr>
              <w:t>8,864</w:t>
            </w:r>
          </w:p>
        </w:tc>
        <w:tc>
          <w:tcPr>
            <w:tcW w:w="709" w:type="dxa"/>
            <w:noWrap/>
            <w:hideMark/>
          </w:tcPr>
          <w:p w:rsidRPr="007E54DC" w:rsidR="00CF3946" w:rsidP="00E52FB6" w:rsidRDefault="00CF3946" w14:paraId="45FE8DAE" w14:textId="77777777">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0.9</w:t>
            </w:r>
          </w:p>
        </w:tc>
        <w:tc>
          <w:tcPr>
            <w:tcW w:w="992" w:type="dxa"/>
            <w:noWrap/>
            <w:hideMark/>
          </w:tcPr>
          <w:p w:rsidRPr="007E54DC" w:rsidR="00CF3946" w:rsidP="00E52FB6" w:rsidRDefault="00CF3946" w14:paraId="518E2BF8" w14:textId="48D713A2">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w:t>
            </w:r>
            <w:r w:rsidRPr="007E54DC" w:rsidR="007453C3">
              <w:rPr>
                <w:rFonts w:eastAsia="Times New Roman" w:cstheme="minorHAnsi"/>
                <w:b/>
                <w:bCs/>
                <w:color w:val="000000"/>
                <w:sz w:val="20"/>
                <w:szCs w:val="20"/>
                <w:lang w:eastAsia="en-GB"/>
              </w:rPr>
              <w:t>48,864</w:t>
            </w:r>
          </w:p>
        </w:tc>
        <w:tc>
          <w:tcPr>
            <w:tcW w:w="709" w:type="dxa"/>
            <w:noWrap/>
            <w:hideMark/>
          </w:tcPr>
          <w:p w:rsidRPr="007E54DC" w:rsidR="00CF3946" w:rsidP="00E52FB6" w:rsidRDefault="00CF3946" w14:paraId="5639A82D" w14:textId="067726EF">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3</w:t>
            </w:r>
          </w:p>
        </w:tc>
        <w:tc>
          <w:tcPr>
            <w:tcW w:w="1276" w:type="dxa"/>
            <w:noWrap/>
            <w:hideMark/>
          </w:tcPr>
          <w:p w:rsidRPr="007E54DC" w:rsidR="00CF3946" w:rsidP="00E52FB6" w:rsidRDefault="00CF3946" w14:paraId="7CF5B371" w14:textId="7C5E7960">
            <w:pPr>
              <w:keepNext/>
              <w:spacing w:after="0" w:line="240" w:lineRule="auto"/>
              <w:jc w:val="center"/>
              <w:rPr>
                <w:rFonts w:eastAsia="Times New Roman"/>
                <w:b/>
                <w:bCs/>
                <w:color w:val="000000"/>
                <w:sz w:val="20"/>
                <w:szCs w:val="20"/>
                <w:lang w:eastAsia="en-GB"/>
              </w:rPr>
            </w:pPr>
            <w:r w:rsidRPr="007E54DC">
              <w:rPr>
                <w:rFonts w:eastAsia="Times New Roman"/>
                <w:b/>
                <w:bCs/>
                <w:color w:val="000000" w:themeColor="text1"/>
                <w:sz w:val="20"/>
                <w:szCs w:val="20"/>
                <w:lang w:eastAsia="en-GB"/>
              </w:rPr>
              <w:t>£1</w:t>
            </w:r>
            <w:r w:rsidRPr="007E54DC" w:rsidR="007453C3">
              <w:rPr>
                <w:rFonts w:eastAsia="Times New Roman"/>
                <w:b/>
                <w:bCs/>
                <w:color w:val="000000" w:themeColor="text1"/>
                <w:sz w:val="20"/>
                <w:szCs w:val="20"/>
                <w:lang w:eastAsia="en-GB"/>
              </w:rPr>
              <w:t>60, 207</w:t>
            </w:r>
            <w:r w:rsidRPr="007E54DC">
              <w:rPr>
                <w:rFonts w:eastAsia="Times New Roman"/>
                <w:b/>
                <w:bCs/>
                <w:color w:val="000000" w:themeColor="text1"/>
                <w:sz w:val="20"/>
                <w:szCs w:val="20"/>
                <w:lang w:eastAsia="en-GB"/>
              </w:rPr>
              <w:t xml:space="preserve">, </w:t>
            </w:r>
          </w:p>
        </w:tc>
      </w:tr>
    </w:tbl>
    <w:p w:rsidRPr="007E54DC" w:rsidR="00CF3946" w:rsidP="00356051" w:rsidRDefault="00356051" w14:paraId="1922A069" w14:textId="49DC3B33">
      <w:pPr>
        <w:pStyle w:val="Caption"/>
      </w:pPr>
      <w:bookmarkStart w:name="_Toc132104917" w:id="45"/>
      <w:r w:rsidRPr="007E54DC">
        <w:t xml:space="preserve">Table </w:t>
      </w:r>
      <w:r w:rsidRPr="007E54DC">
        <w:fldChar w:fldCharType="begin"/>
      </w:r>
      <w:r w:rsidRPr="007E54DC">
        <w:instrText>SEQ Table \* ARABIC</w:instrText>
      </w:r>
      <w:r w:rsidRPr="007E54DC">
        <w:fldChar w:fldCharType="separate"/>
      </w:r>
      <w:r w:rsidR="00B9356F">
        <w:rPr>
          <w:noProof/>
        </w:rPr>
        <w:t>7</w:t>
      </w:r>
      <w:r w:rsidRPr="007E54DC">
        <w:fldChar w:fldCharType="end"/>
      </w:r>
      <w:r w:rsidRPr="007E54DC">
        <w:t xml:space="preserve"> - Resourcing </w:t>
      </w:r>
      <w:r w:rsidRPr="007E54DC" w:rsidR="001F0379">
        <w:t xml:space="preserve">costs </w:t>
      </w:r>
      <w:r w:rsidRPr="007E54DC">
        <w:t>for uplift</w:t>
      </w:r>
      <w:r w:rsidRPr="007E54DC" w:rsidR="001F0379">
        <w:t xml:space="preserve"> based on ready reckoner</w:t>
      </w:r>
      <w:bookmarkEnd w:id="45"/>
    </w:p>
    <w:p w:rsidRPr="007E54DC" w:rsidR="00356051" w:rsidP="00356051" w:rsidRDefault="00356051" w14:paraId="14952184" w14:textId="6FC0B95B">
      <w:r w:rsidRPr="007E54DC">
        <w:t xml:space="preserve">Given the financial mechanism and that this is an uplift and addendum to an existing programme, we expect support beyond that listed in Table </w:t>
      </w:r>
      <w:r w:rsidRPr="007E54DC" w:rsidR="00973FEF">
        <w:t>7</w:t>
      </w:r>
      <w:r w:rsidRPr="007E54DC">
        <w:t xml:space="preserve"> (</w:t>
      </w:r>
      <w:r w:rsidRPr="007E54DC" w:rsidR="003D6893">
        <w:t>i.e.,</w:t>
      </w:r>
      <w:r w:rsidRPr="007E54DC">
        <w:t xml:space="preserve"> commercial, finance, corporate services, etc.) to be minimal so it has not been included</w:t>
      </w:r>
      <w:r w:rsidRPr="007E54DC" w:rsidR="008B17D4">
        <w:t xml:space="preserve"> here but see Annex </w:t>
      </w:r>
      <w:r w:rsidRPr="007E54DC" w:rsidR="3B5FD5F0">
        <w:t>I</w:t>
      </w:r>
      <w:r w:rsidRPr="007E54DC" w:rsidR="00A67F91">
        <w:t xml:space="preserve"> (attached separately) </w:t>
      </w:r>
      <w:r w:rsidRPr="007E54DC" w:rsidR="008B17D4">
        <w:t xml:space="preserve">for </w:t>
      </w:r>
      <w:r w:rsidRPr="007E54DC" w:rsidR="00A67F91">
        <w:t xml:space="preserve">FTE </w:t>
      </w:r>
      <w:r w:rsidRPr="007E54DC" w:rsidR="008B17D4">
        <w:t>Resourcing Plan</w:t>
      </w:r>
      <w:r w:rsidRPr="007E54DC" w:rsidR="00A67F91">
        <w:t>.</w:t>
      </w:r>
      <w:r w:rsidRPr="007E54DC" w:rsidR="32DF4342">
        <w:t xml:space="preserve"> </w:t>
      </w:r>
    </w:p>
    <w:p w:rsidRPr="007E54DC" w:rsidR="00356051" w:rsidP="7FBCB512" w:rsidRDefault="59688F6E" w14:paraId="28836A2D" w14:textId="66675386" w14:noSpellErr="1">
      <w:pPr>
        <w:pStyle w:val="Heading3"/>
        <w:rPr/>
      </w:pPr>
      <w:bookmarkStart w:name="_Toc571965193" w:id="549576023"/>
      <w:r w:rsidR="59688F6E">
        <w:rPr/>
        <w:t xml:space="preserve">Roles and </w:t>
      </w:r>
      <w:r w:rsidR="595A5654">
        <w:rPr/>
        <w:t>responsibilities</w:t>
      </w:r>
      <w:bookmarkEnd w:id="549576023"/>
    </w:p>
    <w:p w:rsidRPr="007E54DC" w:rsidR="00356051" w:rsidP="7FBCB512" w:rsidRDefault="29379FA2" w14:paraId="543F9025" w14:textId="4E6CA6BA">
      <w:pPr>
        <w:rPr>
          <w:rFonts w:eastAsiaTheme="minorEastAsia"/>
          <w:color w:val="000000" w:themeColor="text1"/>
        </w:rPr>
      </w:pPr>
      <w:r w:rsidRPr="007E54DC">
        <w:rPr>
          <w:rFonts w:eastAsiaTheme="minorEastAsia"/>
        </w:rPr>
        <w:t>R</w:t>
      </w:r>
      <w:r w:rsidRPr="007E54DC" w:rsidR="32DF4342">
        <w:rPr>
          <w:rFonts w:eastAsiaTheme="minorEastAsia"/>
        </w:rPr>
        <w:t>oles and responsibilities</w:t>
      </w:r>
      <w:r w:rsidRPr="007E54DC" w:rsidR="098B4621">
        <w:rPr>
          <w:rFonts w:eastAsiaTheme="minorEastAsia"/>
        </w:rPr>
        <w:t xml:space="preserve"> </w:t>
      </w:r>
      <w:r w:rsidRPr="007E54DC" w:rsidR="098B4621">
        <w:rPr>
          <w:rFonts w:eastAsiaTheme="minorEastAsia"/>
          <w:color w:val="000000" w:themeColor="text1"/>
        </w:rPr>
        <w:t>to ensure robust management of</w:t>
      </w:r>
      <w:r w:rsidRPr="007E54DC" w:rsidR="0F78BACF">
        <w:rPr>
          <w:rFonts w:eastAsiaTheme="minorEastAsia"/>
          <w:color w:val="000000" w:themeColor="text1"/>
        </w:rPr>
        <w:t xml:space="preserve"> the GFCR </w:t>
      </w:r>
      <w:r w:rsidRPr="007E54DC" w:rsidR="5730B02C">
        <w:rPr>
          <w:rFonts w:eastAsiaTheme="minorEastAsia"/>
          <w:color w:val="000000" w:themeColor="text1"/>
        </w:rPr>
        <w:t xml:space="preserve">programme are shown in </w:t>
      </w:r>
      <w:r w:rsidRPr="007E54DC" w:rsidR="00973FEF">
        <w:rPr>
          <w:rFonts w:eastAsiaTheme="minorEastAsia"/>
          <w:color w:val="000000" w:themeColor="text1"/>
        </w:rPr>
        <w:t>T</w:t>
      </w:r>
      <w:r w:rsidRPr="007E54DC" w:rsidR="5730B02C">
        <w:rPr>
          <w:rFonts w:eastAsiaTheme="minorEastAsia"/>
          <w:color w:val="000000" w:themeColor="text1"/>
        </w:rPr>
        <w:t xml:space="preserve">able </w:t>
      </w:r>
      <w:r w:rsidRPr="007E54DC" w:rsidR="00973FEF">
        <w:rPr>
          <w:rFonts w:eastAsiaTheme="minorEastAsia"/>
          <w:color w:val="000000" w:themeColor="text1"/>
        </w:rPr>
        <w:t>8</w:t>
      </w:r>
      <w:r w:rsidRPr="007E54DC" w:rsidR="5730B02C">
        <w:rPr>
          <w:rFonts w:eastAsiaTheme="minorEastAsia"/>
          <w:color w:val="000000" w:themeColor="text1"/>
        </w:rPr>
        <w:t xml:space="preserve"> below.</w:t>
      </w:r>
    </w:p>
    <w:tbl>
      <w:tblPr>
        <w:tblW w:w="0" w:type="auto"/>
        <w:tblLook w:val="04A0" w:firstRow="1" w:lastRow="0" w:firstColumn="1" w:lastColumn="0" w:noHBand="0" w:noVBand="1"/>
      </w:tblPr>
      <w:tblGrid>
        <w:gridCol w:w="1742"/>
        <w:gridCol w:w="1299"/>
        <w:gridCol w:w="5965"/>
      </w:tblGrid>
      <w:tr w:rsidRPr="007E54DC" w:rsidR="7FBCB512" w:rsidTr="287C277A" w14:paraId="5174A9D0"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690C6048" w14:textId="6AAD348F">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Role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519BF734" w14:textId="4B400D97">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C3DA2A9" w14:textId="3C067EDF">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Responsibilities </w:t>
            </w:r>
          </w:p>
        </w:tc>
      </w:tr>
      <w:tr w:rsidRPr="007E54DC" w:rsidR="7FBCB512" w:rsidTr="287C277A" w14:paraId="1570E85E" w14:textId="77777777">
        <w:trPr>
          <w:trHeight w:val="826"/>
        </w:trPr>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F43D65D" w14:textId="207356DF">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BPF Portfolio SRO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439C8898" w14:textId="192EB0A3">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Director of Marine and Fisheries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47368AB9" w14:textId="715F5A31">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Overall responsibility for fund level risk and financial propriety. </w:t>
            </w:r>
          </w:p>
        </w:tc>
      </w:tr>
      <w:tr w:rsidRPr="007E54DC" w:rsidR="7FBCB512" w:rsidTr="287C277A" w14:paraId="420AAC0C"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3F5CBA32" w14:textId="2EC9A318">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BPF Programmes SRO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6712D178" w14:textId="0859A7DF">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6 </w:t>
            </w:r>
          </w:p>
        </w:tc>
        <w:tc>
          <w:tcPr>
            <w:tcW w:w="0" w:type="auto"/>
            <w:tcBorders>
              <w:top w:val="single" w:color="auto" w:sz="8" w:space="0"/>
              <w:left w:val="single" w:color="auto" w:sz="8" w:space="0"/>
              <w:bottom w:val="single" w:color="auto" w:sz="8" w:space="0"/>
              <w:right w:val="single" w:color="auto" w:sz="8" w:space="0"/>
            </w:tcBorders>
          </w:tcPr>
          <w:p w:rsidRPr="007E54DC" w:rsidR="7FBCB512" w:rsidP="283FF888" w:rsidRDefault="1ACDFFD5" w14:paraId="773087B2" w14:textId="08A3D7B9">
            <w:pPr>
              <w:spacing w:after="0"/>
              <w:rPr>
                <w:rFonts w:eastAsia="Arial"/>
                <w:color w:val="000000" w:themeColor="text1"/>
                <w:sz w:val="20"/>
                <w:szCs w:val="20"/>
              </w:rPr>
            </w:pPr>
            <w:r w:rsidRPr="007E54DC">
              <w:rPr>
                <w:rFonts w:eastAsia="Arial"/>
                <w:color w:val="000000" w:themeColor="text1"/>
                <w:sz w:val="20"/>
                <w:szCs w:val="20"/>
              </w:rPr>
              <w:t>Overall responsibility for programme level risk, financial propriety, and strategy</w:t>
            </w:r>
            <w:r w:rsidRPr="007E54DC" w:rsidR="2183CD47">
              <w:rPr>
                <w:rFonts w:eastAsia="Arial"/>
                <w:color w:val="000000" w:themeColor="text1"/>
                <w:sz w:val="20"/>
                <w:szCs w:val="20"/>
              </w:rPr>
              <w:t xml:space="preserve">. </w:t>
            </w:r>
            <w:r w:rsidRPr="007E54DC" w:rsidR="73C8DA42">
              <w:rPr>
                <w:rFonts w:eastAsia="Arial"/>
                <w:color w:val="000000" w:themeColor="text1"/>
                <w:sz w:val="20"/>
                <w:szCs w:val="20"/>
              </w:rPr>
              <w:t xml:space="preserve">The SRO is responsible for overall benefits </w:t>
            </w:r>
            <w:r w:rsidRPr="007E54DC" w:rsidR="09116997">
              <w:rPr>
                <w:rFonts w:eastAsia="Arial"/>
                <w:color w:val="000000" w:themeColor="text1"/>
                <w:sz w:val="20"/>
                <w:szCs w:val="20"/>
              </w:rPr>
              <w:t>management  and realisation. The</w:t>
            </w:r>
            <w:r w:rsidRPr="007E54DC" w:rsidR="2183CD47">
              <w:rPr>
                <w:rFonts w:eastAsia="Arial"/>
                <w:color w:val="000000" w:themeColor="text1"/>
                <w:sz w:val="20"/>
                <w:szCs w:val="20"/>
              </w:rPr>
              <w:t xml:space="preserve"> SRO will also act at the Executive Board </w:t>
            </w:r>
            <w:r w:rsidRPr="007E54DC" w:rsidR="4F265E0B">
              <w:rPr>
                <w:rFonts w:eastAsia="Arial"/>
                <w:color w:val="000000" w:themeColor="text1"/>
                <w:sz w:val="20"/>
                <w:szCs w:val="20"/>
              </w:rPr>
              <w:t>Co-</w:t>
            </w:r>
            <w:r w:rsidRPr="007E54DC" w:rsidR="2183CD47">
              <w:rPr>
                <w:rFonts w:eastAsia="Arial"/>
                <w:color w:val="000000" w:themeColor="text1"/>
                <w:sz w:val="20"/>
                <w:szCs w:val="20"/>
              </w:rPr>
              <w:t xml:space="preserve">Chair, playing an impartial role in the </w:t>
            </w:r>
            <w:r w:rsidRPr="007E54DC" w:rsidR="2C6CEECE">
              <w:rPr>
                <w:rFonts w:eastAsia="Arial"/>
                <w:color w:val="000000" w:themeColor="text1"/>
                <w:sz w:val="20"/>
                <w:szCs w:val="20"/>
              </w:rPr>
              <w:t>decision-making</w:t>
            </w:r>
            <w:r w:rsidRPr="007E54DC" w:rsidR="2183CD47">
              <w:rPr>
                <w:rFonts w:eastAsia="Arial"/>
                <w:color w:val="000000" w:themeColor="text1"/>
                <w:sz w:val="20"/>
                <w:szCs w:val="20"/>
              </w:rPr>
              <w:t xml:space="preserve"> processes.</w:t>
            </w:r>
          </w:p>
        </w:tc>
      </w:tr>
      <w:tr w:rsidRPr="007E54DC" w:rsidR="7FBCB512" w:rsidTr="287C277A" w14:paraId="4D1A5635" w14:textId="77777777">
        <w:tc>
          <w:tcPr>
            <w:tcW w:w="0" w:type="auto"/>
            <w:tcBorders>
              <w:top w:val="single" w:color="auto" w:sz="8" w:space="0"/>
              <w:left w:val="single" w:color="auto" w:sz="8" w:space="0"/>
              <w:bottom w:val="single" w:color="auto" w:sz="8" w:space="0"/>
              <w:right w:val="single" w:color="auto" w:sz="8" w:space="0"/>
            </w:tcBorders>
          </w:tcPr>
          <w:p w:rsidRPr="007E54DC" w:rsidR="394A9513" w:rsidP="00ED6179" w:rsidRDefault="394A9513" w14:paraId="117DA3A8" w14:textId="2CDBBE03">
            <w:pPr>
              <w:spacing w:after="0"/>
              <w:rPr>
                <w:rFonts w:eastAsia="Arial" w:cstheme="minorHAnsi"/>
                <w:color w:val="000000" w:themeColor="text1"/>
                <w:sz w:val="20"/>
                <w:szCs w:val="20"/>
              </w:rPr>
            </w:pPr>
            <w:r w:rsidRPr="007E54DC">
              <w:rPr>
                <w:rFonts w:eastAsia="Arial" w:cstheme="minorHAnsi"/>
                <w:color w:val="000000" w:themeColor="text1"/>
                <w:sz w:val="20"/>
                <w:szCs w:val="20"/>
              </w:rPr>
              <w:t>GFCR</w:t>
            </w:r>
            <w:r w:rsidRPr="007E54DC" w:rsidR="7FBCB512">
              <w:rPr>
                <w:rFonts w:eastAsia="Arial" w:cstheme="minorHAnsi"/>
                <w:color w:val="000000" w:themeColor="text1"/>
                <w:sz w:val="20"/>
                <w:szCs w:val="20"/>
              </w:rPr>
              <w:t xml:space="preserve"> Programme Responsible Officer (PRO)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999325B" w14:textId="0ACF8D29">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7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2172773" w14:textId="2BAF441C">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Overall responsibility for day-to-day decisions of </w:t>
            </w:r>
            <w:r w:rsidRPr="007E54DC" w:rsidR="595C56AA">
              <w:rPr>
                <w:rFonts w:eastAsia="Arial" w:cstheme="minorHAnsi"/>
                <w:color w:val="000000" w:themeColor="text1"/>
                <w:sz w:val="20"/>
                <w:szCs w:val="20"/>
              </w:rPr>
              <w:t xml:space="preserve">the </w:t>
            </w:r>
            <w:r w:rsidRPr="007E54DC">
              <w:rPr>
                <w:rFonts w:eastAsia="Arial" w:cstheme="minorHAnsi"/>
                <w:color w:val="000000" w:themeColor="text1"/>
                <w:sz w:val="20"/>
                <w:szCs w:val="20"/>
              </w:rPr>
              <w:t xml:space="preserve">programme </w:t>
            </w:r>
          </w:p>
        </w:tc>
      </w:tr>
      <w:tr w:rsidRPr="007E54DC" w:rsidR="7FBCB512" w:rsidTr="287C277A" w14:paraId="664709D2"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301BBD8D" w14:textId="7BFD64F6">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Programme Manager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35D63A17" w14:textId="48BF4C9E">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SEO </w:t>
            </w:r>
          </w:p>
        </w:tc>
        <w:tc>
          <w:tcPr>
            <w:tcW w:w="0" w:type="auto"/>
            <w:tcBorders>
              <w:top w:val="single" w:color="auto" w:sz="8" w:space="0"/>
              <w:left w:val="single" w:color="auto" w:sz="8" w:space="0"/>
              <w:bottom w:val="single" w:color="auto" w:sz="8" w:space="0"/>
              <w:right w:val="single" w:color="auto" w:sz="8" w:space="0"/>
            </w:tcBorders>
          </w:tcPr>
          <w:p w:rsidRPr="007E54DC" w:rsidR="7FBCB512" w:rsidP="287C277A" w:rsidRDefault="56387D47" w14:paraId="466523B1" w14:textId="393C40F3">
            <w:pPr>
              <w:spacing w:after="0"/>
              <w:rPr>
                <w:rFonts w:eastAsia="Arial"/>
                <w:color w:val="000000" w:themeColor="text1"/>
                <w:sz w:val="20"/>
                <w:szCs w:val="20"/>
              </w:rPr>
            </w:pPr>
            <w:r w:rsidRPr="007E54DC">
              <w:rPr>
                <w:rFonts w:eastAsia="Arial"/>
                <w:color w:val="000000" w:themeColor="text1"/>
                <w:sz w:val="20"/>
                <w:szCs w:val="20"/>
              </w:rPr>
              <w:t>Responsible advising the Programme SRO on programming decisions and risk</w:t>
            </w:r>
            <w:r w:rsidRPr="007E54DC" w:rsidR="3032F0D8">
              <w:rPr>
                <w:rFonts w:eastAsia="Arial"/>
                <w:color w:val="000000" w:themeColor="text1"/>
                <w:sz w:val="20"/>
                <w:szCs w:val="20"/>
              </w:rPr>
              <w:t xml:space="preserve"> and supporting HEO.</w:t>
            </w:r>
            <w:r w:rsidRPr="007E54DC" w:rsidR="1C34EE64">
              <w:rPr>
                <w:rFonts w:eastAsia="Arial"/>
                <w:color w:val="000000" w:themeColor="text1"/>
                <w:sz w:val="20"/>
                <w:szCs w:val="20"/>
              </w:rPr>
              <w:t xml:space="preserve"> They are also involved with the day – to - day  </w:t>
            </w:r>
            <w:r w:rsidRPr="007E54DC" w:rsidR="358AEFE0">
              <w:rPr>
                <w:rFonts w:eastAsia="Arial"/>
                <w:color w:val="000000" w:themeColor="text1"/>
                <w:sz w:val="20"/>
                <w:szCs w:val="20"/>
              </w:rPr>
              <w:t xml:space="preserve">monitoring of </w:t>
            </w:r>
            <w:r w:rsidRPr="007E54DC" w:rsidR="1C34EE64">
              <w:rPr>
                <w:rFonts w:eastAsia="Arial"/>
                <w:color w:val="000000" w:themeColor="text1"/>
                <w:sz w:val="20"/>
                <w:szCs w:val="20"/>
              </w:rPr>
              <w:t>benefits realisatio</w:t>
            </w:r>
            <w:r w:rsidRPr="007E54DC" w:rsidR="77D9057A">
              <w:rPr>
                <w:rFonts w:eastAsia="Arial"/>
                <w:color w:val="000000" w:themeColor="text1"/>
                <w:sz w:val="20"/>
                <w:szCs w:val="20"/>
              </w:rPr>
              <w:t>n</w:t>
            </w:r>
            <w:r w:rsidRPr="007E54DC" w:rsidR="1C34EE64">
              <w:rPr>
                <w:rFonts w:eastAsia="Arial"/>
                <w:color w:val="000000" w:themeColor="text1"/>
                <w:sz w:val="20"/>
                <w:szCs w:val="20"/>
              </w:rPr>
              <w:t xml:space="preserve"> </w:t>
            </w:r>
          </w:p>
        </w:tc>
      </w:tr>
      <w:tr w:rsidRPr="007E54DC" w:rsidR="7FBCB512" w:rsidTr="287C277A" w14:paraId="40908480"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0E606EE0" w14:textId="3410B386">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MEL Advisor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5D820648" w14:textId="5979DBD2">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7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675E6B25" w14:textId="090D8049">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Overall responsibility for MEL strategy and delivery, in coordination with the MEL </w:t>
            </w:r>
            <w:r w:rsidRPr="007E54DC" w:rsidR="00C254EC">
              <w:rPr>
                <w:rFonts w:eastAsia="Arial" w:cstheme="minorHAnsi"/>
                <w:color w:val="000000" w:themeColor="text1"/>
                <w:sz w:val="20"/>
                <w:szCs w:val="20"/>
              </w:rPr>
              <w:t>Commercial</w:t>
            </w:r>
            <w:r w:rsidRPr="007E54DC">
              <w:rPr>
                <w:rFonts w:eastAsia="Arial" w:cstheme="minorHAnsi"/>
                <w:color w:val="000000" w:themeColor="text1"/>
                <w:sz w:val="20"/>
                <w:szCs w:val="20"/>
              </w:rPr>
              <w:t xml:space="preserve"> Supplier. </w:t>
            </w:r>
          </w:p>
        </w:tc>
      </w:tr>
      <w:tr w:rsidRPr="007E54DC" w:rsidR="7FBCB512" w:rsidTr="287C277A" w14:paraId="2BE0CF39"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3D77BF28" w14:textId="1417E670">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Programme Support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005D9698" w14:textId="577D3B25">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HEO </w:t>
            </w:r>
          </w:p>
        </w:tc>
        <w:tc>
          <w:tcPr>
            <w:tcW w:w="0" w:type="auto"/>
            <w:tcBorders>
              <w:top w:val="single" w:color="auto" w:sz="8" w:space="0"/>
              <w:left w:val="single" w:color="auto" w:sz="8" w:space="0"/>
              <w:bottom w:val="single" w:color="auto" w:sz="8" w:space="0"/>
              <w:right w:val="single" w:color="auto" w:sz="8" w:space="0"/>
            </w:tcBorders>
          </w:tcPr>
          <w:p w:rsidRPr="007E54DC" w:rsidR="6DE632FB" w:rsidP="287C277A" w:rsidRDefault="3A9D1992" w14:paraId="6783622E" w14:textId="07E0A5CF">
            <w:pPr>
              <w:spacing w:after="0"/>
              <w:rPr>
                <w:rFonts w:eastAsia="Arial"/>
                <w:color w:val="000000" w:themeColor="text1"/>
                <w:sz w:val="20"/>
                <w:szCs w:val="20"/>
              </w:rPr>
            </w:pPr>
            <w:r w:rsidRPr="007E54DC">
              <w:rPr>
                <w:rFonts w:eastAsia="Arial"/>
                <w:color w:val="000000" w:themeColor="text1"/>
                <w:sz w:val="20"/>
                <w:szCs w:val="20"/>
              </w:rPr>
              <w:t xml:space="preserve">Responsible for day-to-day management of the programme. </w:t>
            </w:r>
            <w:r w:rsidRPr="007E54DC" w:rsidR="56387D47">
              <w:rPr>
                <w:rFonts w:eastAsia="Arial"/>
                <w:color w:val="000000" w:themeColor="text1"/>
                <w:sz w:val="20"/>
                <w:szCs w:val="20"/>
              </w:rPr>
              <w:t xml:space="preserve">Responsible for setting up and organising governance meetings, managing project level requests from delivery partners, and advising the programme manager. </w:t>
            </w:r>
            <w:r w:rsidRPr="007E54DC" w:rsidR="0078CFB8">
              <w:rPr>
                <w:rFonts w:eastAsia="Arial"/>
                <w:color w:val="000000" w:themeColor="text1"/>
                <w:sz w:val="20"/>
                <w:szCs w:val="20"/>
              </w:rPr>
              <w:t>Also provides support regarding monitoring day-to-day benefits realisation.</w:t>
            </w:r>
          </w:p>
        </w:tc>
      </w:tr>
      <w:tr w:rsidRPr="007E54DC" w:rsidR="7FBCB512" w:rsidTr="287C277A" w14:paraId="1301D6F1"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23B4702" w14:textId="6646E3C8">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Commercial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0EF0CC8B" w14:textId="5349503E">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7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508E9D6D" w14:textId="5672D191">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Responsible for ensuring commercial strategies are feasible and deployed responsibly. </w:t>
            </w:r>
          </w:p>
        </w:tc>
      </w:tr>
      <w:tr w:rsidRPr="007E54DC" w:rsidR="7FBCB512" w:rsidTr="287C277A" w14:paraId="15964F5B"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9CDF129" w14:textId="155F2B41">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Financial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6C44A208" w14:textId="763F441F">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7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019576DE" w14:textId="43BE5C8B">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Responsible for financial advice to support the financial propriety of the Seascapes programme. </w:t>
            </w:r>
          </w:p>
        </w:tc>
      </w:tr>
      <w:tr w:rsidRPr="007E54DC" w:rsidR="7FBCB512" w:rsidTr="287C277A" w14:paraId="640348C5"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066BA0DE" w14:textId="1EBA0732">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Delivery partners </w:t>
            </w:r>
          </w:p>
        </w:tc>
        <w:tc>
          <w:tcPr>
            <w:tcW w:w="0" w:type="auto"/>
            <w:tcBorders>
              <w:top w:val="single" w:color="auto" w:sz="8" w:space="0"/>
              <w:left w:val="single" w:color="auto" w:sz="8" w:space="0"/>
              <w:bottom w:val="single" w:color="auto" w:sz="8" w:space="0"/>
              <w:right w:val="single" w:color="auto" w:sz="8" w:space="0"/>
            </w:tcBorders>
          </w:tcPr>
          <w:p w:rsidRPr="007E54DC" w:rsidR="56B259D1" w:rsidP="00ED6179" w:rsidRDefault="56B259D1" w14:paraId="3A1AF52E" w14:textId="76BE7823">
            <w:pPr>
              <w:spacing w:after="0"/>
              <w:rPr>
                <w:rFonts w:eastAsia="Arial" w:cstheme="minorHAnsi"/>
                <w:color w:val="000000" w:themeColor="text1"/>
                <w:sz w:val="20"/>
                <w:szCs w:val="20"/>
              </w:rPr>
            </w:pPr>
            <w:r w:rsidRPr="007E54DC">
              <w:rPr>
                <w:rFonts w:eastAsia="Arial" w:cstheme="minorHAnsi"/>
                <w:color w:val="000000" w:themeColor="text1"/>
                <w:sz w:val="20"/>
                <w:szCs w:val="20"/>
              </w:rPr>
              <w:t>GFCR</w:t>
            </w:r>
          </w:p>
        </w:tc>
        <w:tc>
          <w:tcPr>
            <w:tcW w:w="0" w:type="auto"/>
            <w:tcBorders>
              <w:top w:val="single" w:color="auto" w:sz="8" w:space="0"/>
              <w:left w:val="single" w:color="auto" w:sz="8" w:space="0"/>
              <w:bottom w:val="single" w:color="auto" w:sz="8" w:space="0"/>
              <w:right w:val="single" w:color="auto" w:sz="8" w:space="0"/>
            </w:tcBorders>
          </w:tcPr>
          <w:p w:rsidRPr="007E54DC" w:rsidR="7FBCB512" w:rsidP="287C277A" w:rsidRDefault="21455E40" w14:paraId="795DD529" w14:textId="109796AC">
            <w:pPr>
              <w:keepNext/>
              <w:spacing w:after="0"/>
              <w:rPr>
                <w:rFonts w:eastAsia="Arial"/>
                <w:color w:val="000000" w:themeColor="text1"/>
                <w:sz w:val="20"/>
                <w:szCs w:val="20"/>
              </w:rPr>
            </w:pPr>
            <w:r w:rsidRPr="007E54DC">
              <w:rPr>
                <w:rFonts w:eastAsia="Arial"/>
                <w:color w:val="000000" w:themeColor="text1"/>
                <w:sz w:val="20"/>
                <w:szCs w:val="20"/>
              </w:rPr>
              <w:t>GFCR</w:t>
            </w:r>
            <w:r w:rsidRPr="007E54DC" w:rsidR="56387D47">
              <w:rPr>
                <w:rFonts w:eastAsia="Arial"/>
                <w:color w:val="000000" w:themeColor="text1"/>
                <w:sz w:val="20"/>
                <w:szCs w:val="20"/>
              </w:rPr>
              <w:t xml:space="preserve"> will be responsible for on-the-ground programme delivery, reporting on </w:t>
            </w:r>
            <w:r w:rsidRPr="007E54DC" w:rsidR="580085AD">
              <w:rPr>
                <w:rFonts w:eastAsia="Arial"/>
                <w:color w:val="000000" w:themeColor="text1"/>
                <w:sz w:val="20"/>
                <w:szCs w:val="20"/>
              </w:rPr>
              <w:t>GFCR</w:t>
            </w:r>
            <w:r w:rsidRPr="007E54DC" w:rsidR="56387D47">
              <w:rPr>
                <w:rFonts w:eastAsia="Arial"/>
                <w:color w:val="000000" w:themeColor="text1"/>
                <w:sz w:val="20"/>
                <w:szCs w:val="20"/>
              </w:rPr>
              <w:t xml:space="preserve"> level budget, risk, and progress, and producing a </w:t>
            </w:r>
            <w:proofErr w:type="spellStart"/>
            <w:r w:rsidRPr="007E54DC" w:rsidR="561E18D1">
              <w:rPr>
                <w:rFonts w:eastAsia="Arial"/>
                <w:color w:val="000000" w:themeColor="text1"/>
                <w:sz w:val="20"/>
                <w:szCs w:val="20"/>
              </w:rPr>
              <w:t>LogFrame</w:t>
            </w:r>
            <w:proofErr w:type="spellEnd"/>
            <w:r w:rsidRPr="007E54DC" w:rsidR="56387D47">
              <w:rPr>
                <w:rFonts w:eastAsia="Arial"/>
                <w:color w:val="000000" w:themeColor="text1"/>
                <w:sz w:val="20"/>
                <w:szCs w:val="20"/>
              </w:rPr>
              <w:t xml:space="preserve"> for their deliverables</w:t>
            </w:r>
            <w:r w:rsidRPr="007E54DC" w:rsidR="43C28404">
              <w:rPr>
                <w:rFonts w:eastAsia="Arial"/>
                <w:color w:val="000000" w:themeColor="text1"/>
                <w:sz w:val="20"/>
                <w:szCs w:val="20"/>
              </w:rPr>
              <w:t xml:space="preserve"> to monitor benefits realisation and progress. This </w:t>
            </w:r>
            <w:r w:rsidRPr="007E54DC" w:rsidR="56387D47">
              <w:rPr>
                <w:rFonts w:eastAsia="Arial"/>
                <w:color w:val="000000" w:themeColor="text1"/>
                <w:sz w:val="20"/>
                <w:szCs w:val="20"/>
              </w:rPr>
              <w:t xml:space="preserve">will feed into a programme level </w:t>
            </w:r>
            <w:proofErr w:type="spellStart"/>
            <w:r w:rsidRPr="007E54DC" w:rsidR="561E18D1">
              <w:rPr>
                <w:rFonts w:eastAsia="Arial"/>
                <w:color w:val="000000" w:themeColor="text1"/>
                <w:sz w:val="20"/>
                <w:szCs w:val="20"/>
              </w:rPr>
              <w:t>LogFrame</w:t>
            </w:r>
            <w:proofErr w:type="spellEnd"/>
            <w:r w:rsidRPr="007E54DC" w:rsidR="56387D47">
              <w:rPr>
                <w:rFonts w:eastAsia="Arial"/>
                <w:color w:val="000000" w:themeColor="text1"/>
                <w:sz w:val="20"/>
                <w:szCs w:val="20"/>
              </w:rPr>
              <w:t xml:space="preserve"> amongst other day-to-day responsibilities.</w:t>
            </w:r>
          </w:p>
        </w:tc>
      </w:tr>
    </w:tbl>
    <w:p w:rsidRPr="007E54DC" w:rsidR="00973FEF" w:rsidP="00973FEF" w:rsidRDefault="00973FEF" w14:paraId="280863CF" w14:textId="5C8683E7">
      <w:pPr>
        <w:pStyle w:val="Caption"/>
      </w:pPr>
      <w:bookmarkStart w:name="_Toc132104918" w:id="47"/>
      <w:r w:rsidRPr="007E54DC">
        <w:t xml:space="preserve">Table </w:t>
      </w:r>
      <w:r w:rsidRPr="007E54DC">
        <w:fldChar w:fldCharType="begin"/>
      </w:r>
      <w:r w:rsidRPr="007E54DC">
        <w:instrText>SEQ Table \* ARABIC</w:instrText>
      </w:r>
      <w:r w:rsidRPr="007E54DC">
        <w:fldChar w:fldCharType="separate"/>
      </w:r>
      <w:r w:rsidR="00B9356F">
        <w:rPr>
          <w:noProof/>
        </w:rPr>
        <w:t>8</w:t>
      </w:r>
      <w:r w:rsidRPr="007E54DC">
        <w:fldChar w:fldCharType="end"/>
      </w:r>
      <w:r w:rsidRPr="007E54DC">
        <w:rPr>
          <w:noProof/>
        </w:rPr>
        <w:t xml:space="preserve"> -  Roles and responsibilities</w:t>
      </w:r>
      <w:bookmarkEnd w:id="47"/>
    </w:p>
    <w:p w:rsidRPr="007E54DC" w:rsidR="00973FEF" w:rsidP="7FBCB512" w:rsidRDefault="00973FEF" w14:paraId="78BC9B33" w14:textId="77777777"/>
    <w:p w:rsidRPr="007E54DC" w:rsidR="0059188B" w:rsidP="00C92CBA" w:rsidRDefault="00383C21" w14:paraId="3406F38E" w14:textId="6401519E" w14:noSpellErr="1">
      <w:pPr>
        <w:pStyle w:val="Heading1"/>
        <w:rPr/>
      </w:pPr>
      <w:bookmarkStart w:name="_Toc1074128006" w:id="94445003"/>
      <w:r w:rsidR="00383C21">
        <w:rPr/>
        <w:t xml:space="preserve">Section 4: </w:t>
      </w:r>
      <w:r w:rsidR="0059188B">
        <w:rPr/>
        <w:t xml:space="preserve">Key </w:t>
      </w:r>
      <w:r w:rsidR="00BB2AD4">
        <w:rPr/>
        <w:t xml:space="preserve">additions and </w:t>
      </w:r>
      <w:r w:rsidR="0059188B">
        <w:rPr/>
        <w:t>changes to the original business case</w:t>
      </w:r>
      <w:bookmarkEnd w:id="94445003"/>
    </w:p>
    <w:p w:rsidRPr="007E54DC" w:rsidR="006E055F" w:rsidP="0022760D" w:rsidRDefault="00383C21" w14:paraId="7866590B" w14:textId="35365FC5" w14:noSpellErr="1">
      <w:pPr>
        <w:pStyle w:val="Heading2"/>
        <w:rPr/>
      </w:pPr>
      <w:bookmarkStart w:name="_Strategic" w:id="49"/>
      <w:bookmarkStart w:name="_Toc111401985" w:id="50"/>
      <w:bookmarkEnd w:id="49"/>
      <w:bookmarkStart w:name="_Toc861514990" w:id="685148477"/>
      <w:r w:rsidR="00383C21">
        <w:rPr/>
        <w:t xml:space="preserve">Section 4.1: </w:t>
      </w:r>
      <w:r w:rsidR="006E055F">
        <w:rPr/>
        <w:t>Strategic</w:t>
      </w:r>
      <w:bookmarkEnd w:id="50"/>
      <w:r w:rsidR="006D39E5">
        <w:rPr/>
        <w:t xml:space="preserve"> Case</w:t>
      </w:r>
      <w:bookmarkEnd w:id="685148477"/>
    </w:p>
    <w:p w:rsidRPr="003E15FD" w:rsidR="006E055F" w:rsidP="67D056F8" w:rsidRDefault="146A8D4B" w14:paraId="0F2E1F78" w14:textId="66DF40EC">
      <w:pPr>
        <w:rPr>
          <w:rFonts w:ascii="Calibri" w:hAnsi="Calibri" w:eastAsia="Calibri" w:cs="Calibri"/>
        </w:rPr>
      </w:pPr>
      <w:r w:rsidRPr="007E54DC">
        <w:rPr>
          <w:b/>
          <w:bCs/>
        </w:rPr>
        <w:t xml:space="preserve">The strategic argument for providing grant finance to support </w:t>
      </w:r>
      <w:r w:rsidRPr="007E54DC" w:rsidR="5E2F0155">
        <w:rPr>
          <w:b/>
          <w:bCs/>
        </w:rPr>
        <w:t xml:space="preserve">increasing the resilience of both </w:t>
      </w:r>
      <w:r w:rsidRPr="007E54DC" w:rsidR="5665ADCA">
        <w:rPr>
          <w:b/>
          <w:bCs/>
        </w:rPr>
        <w:t xml:space="preserve">coral </w:t>
      </w:r>
      <w:r w:rsidRPr="007E54DC" w:rsidR="5E2F0155">
        <w:rPr>
          <w:b/>
          <w:bCs/>
        </w:rPr>
        <w:t xml:space="preserve">ecosystems and </w:t>
      </w:r>
      <w:r w:rsidRPr="007E54DC" w:rsidR="5665ADCA">
        <w:rPr>
          <w:b/>
          <w:bCs/>
        </w:rPr>
        <w:t xml:space="preserve">the </w:t>
      </w:r>
      <w:r w:rsidRPr="007E54DC" w:rsidR="5E2F0155">
        <w:rPr>
          <w:b/>
          <w:bCs/>
        </w:rPr>
        <w:t>communities</w:t>
      </w:r>
      <w:r w:rsidRPr="007E54DC">
        <w:rPr>
          <w:b/>
          <w:bCs/>
        </w:rPr>
        <w:t xml:space="preserve"> </w:t>
      </w:r>
      <w:r w:rsidRPr="007E54DC" w:rsidR="5665ADCA">
        <w:rPr>
          <w:b/>
          <w:bCs/>
        </w:rPr>
        <w:t xml:space="preserve">that depend on them </w:t>
      </w:r>
      <w:r w:rsidRPr="007E54DC" w:rsidR="3C42B305">
        <w:rPr>
          <w:b/>
          <w:bCs/>
        </w:rPr>
        <w:t xml:space="preserve">has been strengthened following </w:t>
      </w:r>
      <w:r w:rsidRPr="007E54DC" w:rsidR="68E5B786">
        <w:rPr>
          <w:b/>
          <w:bCs/>
        </w:rPr>
        <w:t xml:space="preserve">global agreements made at the </w:t>
      </w:r>
      <w:hyperlink w:history="1" r:id="rId22">
        <w:r w:rsidRPr="003E15FD" w:rsidR="68E5B786">
          <w:rPr>
            <w:rFonts w:ascii="Calibri" w:hAnsi="Calibri" w:eastAsia="Calibri" w:cs="Calibri"/>
            <w:b/>
            <w:bCs/>
          </w:rPr>
          <w:t>15th Conference of Parties to the UN Convention on Biological Diversity</w:t>
        </w:r>
        <w:r w:rsidRPr="003E15FD" w:rsidR="1A20FD04">
          <w:rPr>
            <w:rStyle w:val="Hyperlink"/>
            <w:rFonts w:ascii="Calibri" w:hAnsi="Calibri" w:eastAsia="Calibri" w:cs="Calibri"/>
            <w:b/>
            <w:bCs/>
            <w:color w:val="auto"/>
          </w:rPr>
          <w:t>.</w:t>
        </w:r>
      </w:hyperlink>
      <w:r w:rsidRPr="003E15FD" w:rsidR="7A6A5272">
        <w:rPr>
          <w:rFonts w:ascii="Calibri" w:hAnsi="Calibri" w:eastAsia="Calibri" w:cs="Calibri"/>
          <w:b/>
          <w:bCs/>
        </w:rPr>
        <w:t xml:space="preserve"> (CBD COP15)</w:t>
      </w:r>
      <w:r w:rsidR="003E15FD">
        <w:rPr>
          <w:rFonts w:ascii="Calibri" w:hAnsi="Calibri" w:eastAsia="Calibri" w:cs="Calibri"/>
          <w:b/>
          <w:bCs/>
        </w:rPr>
        <w:t>.</w:t>
      </w:r>
      <w:r w:rsidRPr="003E15FD" w:rsidR="1A20FD04">
        <w:rPr>
          <w:rFonts w:ascii="Calibri" w:hAnsi="Calibri" w:eastAsia="Calibri" w:cs="Calibri"/>
          <w:b/>
          <w:bCs/>
        </w:rPr>
        <w:t xml:space="preserve"> </w:t>
      </w:r>
      <w:r w:rsidRPr="003E15FD" w:rsidR="1A20FD04">
        <w:rPr>
          <w:rFonts w:ascii="Calibri" w:hAnsi="Calibri" w:eastAsia="Calibri" w:cs="Calibri"/>
        </w:rPr>
        <w:t xml:space="preserve">The GFCR aligns closely with </w:t>
      </w:r>
      <w:r w:rsidRPr="003E15FD" w:rsidR="48CABA9E">
        <w:rPr>
          <w:rFonts w:ascii="Calibri" w:hAnsi="Calibri" w:eastAsia="Calibri" w:cs="Calibri"/>
        </w:rPr>
        <w:t>three</w:t>
      </w:r>
      <w:r w:rsidRPr="003E15FD" w:rsidR="1A20FD04">
        <w:rPr>
          <w:rFonts w:ascii="Calibri" w:hAnsi="Calibri" w:eastAsia="Calibri" w:cs="Calibri"/>
        </w:rPr>
        <w:t xml:space="preserve"> of the </w:t>
      </w:r>
      <w:r w:rsidRPr="003E15FD" w:rsidR="76C35104">
        <w:rPr>
          <w:rFonts w:ascii="Calibri" w:hAnsi="Calibri" w:eastAsia="Calibri" w:cs="Calibri"/>
        </w:rPr>
        <w:t>four</w:t>
      </w:r>
      <w:r w:rsidRPr="003E15FD" w:rsidR="1A20FD04">
        <w:rPr>
          <w:rFonts w:ascii="Calibri" w:hAnsi="Calibri" w:eastAsia="Calibri" w:cs="Calibri"/>
        </w:rPr>
        <w:t xml:space="preserve"> goals of the</w:t>
      </w:r>
      <w:r w:rsidRPr="003E15FD" w:rsidR="68E5B786">
        <w:rPr>
          <w:rFonts w:ascii="Calibri" w:hAnsi="Calibri" w:eastAsia="Calibri" w:cs="Calibri"/>
        </w:rPr>
        <w:t xml:space="preserve"> “Kunming-Montreal Global Biodiversity Framework” (GBF)</w:t>
      </w:r>
      <w:r w:rsidRPr="003E15FD" w:rsidR="01BBACBA">
        <w:rPr>
          <w:rFonts w:ascii="Calibri" w:hAnsi="Calibri" w:eastAsia="Calibri" w:cs="Calibri"/>
        </w:rPr>
        <w:t xml:space="preserve">, which </w:t>
      </w:r>
      <w:r w:rsidRPr="003E15FD" w:rsidR="325EA269">
        <w:rPr>
          <w:rFonts w:ascii="Calibri" w:hAnsi="Calibri" w:eastAsia="Calibri" w:cs="Calibri"/>
        </w:rPr>
        <w:t>involve</w:t>
      </w:r>
      <w:r w:rsidRPr="003E15FD" w:rsidR="6A6B230E">
        <w:rPr>
          <w:rFonts w:ascii="Calibri" w:hAnsi="Calibri" w:eastAsia="Calibri" w:cs="Calibri"/>
        </w:rPr>
        <w:t>:</w:t>
      </w:r>
    </w:p>
    <w:p w:rsidRPr="003E15FD" w:rsidR="006E055F" w:rsidP="0015573E" w:rsidRDefault="5AF2ED0D" w14:paraId="64342B42" w14:textId="01676EBA">
      <w:pPr>
        <w:pStyle w:val="ListParagraph"/>
        <w:numPr>
          <w:ilvl w:val="0"/>
          <w:numId w:val="4"/>
        </w:numPr>
        <w:rPr>
          <w:rFonts w:eastAsia="Calibri"/>
          <w:color w:val="auto"/>
        </w:rPr>
      </w:pPr>
      <w:r w:rsidRPr="003E15FD">
        <w:rPr>
          <w:rFonts w:eastAsia="Calibri"/>
          <w:color w:val="auto"/>
        </w:rPr>
        <w:t>M</w:t>
      </w:r>
      <w:r w:rsidRPr="003E15FD" w:rsidR="008467A9">
        <w:rPr>
          <w:rFonts w:eastAsia="Calibri"/>
          <w:color w:val="auto"/>
        </w:rPr>
        <w:t xml:space="preserve">aintaining and enhancing </w:t>
      </w:r>
      <w:r w:rsidRPr="003E15FD" w:rsidR="01E497F5">
        <w:rPr>
          <w:rFonts w:eastAsia="Calibri"/>
          <w:color w:val="auto"/>
        </w:rPr>
        <w:t>connectivity</w:t>
      </w:r>
      <w:r w:rsidRPr="003E15FD" w:rsidR="008467A9">
        <w:rPr>
          <w:rFonts w:eastAsia="Calibri"/>
          <w:color w:val="auto"/>
        </w:rPr>
        <w:t xml:space="preserve"> and resilience of ecosystems</w:t>
      </w:r>
      <w:r w:rsidRPr="003E15FD" w:rsidR="2E4C5BF2">
        <w:rPr>
          <w:rFonts w:eastAsia="Calibri"/>
          <w:color w:val="auto"/>
        </w:rPr>
        <w:t xml:space="preserve"> (Goal A)</w:t>
      </w:r>
    </w:p>
    <w:p w:rsidRPr="003E15FD" w:rsidR="006E055F" w:rsidP="0015573E" w:rsidRDefault="2E4C5BF2" w14:paraId="436011A2" w14:textId="114FD046">
      <w:pPr>
        <w:pStyle w:val="ListParagraph"/>
        <w:numPr>
          <w:ilvl w:val="0"/>
          <w:numId w:val="4"/>
        </w:numPr>
        <w:rPr>
          <w:color w:val="auto"/>
        </w:rPr>
      </w:pPr>
      <w:r w:rsidRPr="003E15FD">
        <w:rPr>
          <w:rFonts w:eastAsia="Calibri"/>
          <w:color w:val="auto"/>
        </w:rPr>
        <w:t>P</w:t>
      </w:r>
      <w:r w:rsidRPr="003E15FD" w:rsidR="0A6F11EE">
        <w:rPr>
          <w:rFonts w:eastAsia="Calibri"/>
          <w:color w:val="auto"/>
        </w:rPr>
        <w:t>reventing human induced extinction of threatened species</w:t>
      </w:r>
      <w:r w:rsidRPr="003E15FD" w:rsidR="0384F60E">
        <w:rPr>
          <w:rFonts w:eastAsia="Calibri"/>
          <w:color w:val="auto"/>
        </w:rPr>
        <w:t xml:space="preserve"> (Goal A)</w:t>
      </w:r>
    </w:p>
    <w:p w:rsidRPr="003E15FD" w:rsidR="006E055F" w:rsidP="0015573E" w:rsidRDefault="0384F60E" w14:paraId="06A2C49F" w14:textId="0DA52A5F">
      <w:pPr>
        <w:pStyle w:val="ListParagraph"/>
        <w:numPr>
          <w:ilvl w:val="0"/>
          <w:numId w:val="4"/>
        </w:numPr>
        <w:rPr>
          <w:color w:val="auto"/>
        </w:rPr>
      </w:pPr>
      <w:r w:rsidRPr="003E15FD">
        <w:rPr>
          <w:rFonts w:eastAsia="Calibri"/>
          <w:color w:val="auto"/>
        </w:rPr>
        <w:t>E</w:t>
      </w:r>
      <w:r w:rsidRPr="003E15FD" w:rsidR="3B940568">
        <w:rPr>
          <w:rFonts w:eastAsia="Calibri"/>
          <w:color w:val="auto"/>
        </w:rPr>
        <w:t xml:space="preserve">nsuring </w:t>
      </w:r>
      <w:r w:rsidRPr="003E15FD" w:rsidR="7F09E054">
        <w:rPr>
          <w:rFonts w:eastAsia="Calibri"/>
          <w:color w:val="auto"/>
        </w:rPr>
        <w:t>biodiversity</w:t>
      </w:r>
      <w:r w:rsidRPr="003E15FD" w:rsidR="3B940568">
        <w:rPr>
          <w:rFonts w:eastAsia="Calibri"/>
          <w:color w:val="auto"/>
        </w:rPr>
        <w:t xml:space="preserve"> and </w:t>
      </w:r>
      <w:r w:rsidRPr="003E15FD" w:rsidR="6094AC85">
        <w:rPr>
          <w:rFonts w:eastAsia="Calibri"/>
          <w:color w:val="auto"/>
        </w:rPr>
        <w:t>ecosystem</w:t>
      </w:r>
      <w:r w:rsidRPr="003E15FD" w:rsidR="3B940568">
        <w:rPr>
          <w:rFonts w:eastAsia="Calibri"/>
          <w:color w:val="auto"/>
        </w:rPr>
        <w:t xml:space="preserve"> services are </w:t>
      </w:r>
      <w:r w:rsidRPr="003E15FD" w:rsidR="27E2E43C">
        <w:rPr>
          <w:rFonts w:eastAsia="Calibri"/>
          <w:color w:val="auto"/>
        </w:rPr>
        <w:t>utilised</w:t>
      </w:r>
      <w:r w:rsidRPr="003E15FD" w:rsidR="3B940568">
        <w:rPr>
          <w:rFonts w:eastAsia="Calibri"/>
          <w:color w:val="auto"/>
        </w:rPr>
        <w:t xml:space="preserve"> and managed sustainably</w:t>
      </w:r>
      <w:r w:rsidRPr="003E15FD" w:rsidR="01532342">
        <w:rPr>
          <w:rFonts w:eastAsia="Calibri"/>
          <w:color w:val="auto"/>
        </w:rPr>
        <w:t xml:space="preserve"> (Goal B)</w:t>
      </w:r>
    </w:p>
    <w:p w:rsidRPr="003E15FD" w:rsidR="006E055F" w:rsidP="0015573E" w:rsidRDefault="1ADE547E" w14:paraId="1A4312E4" w14:textId="2774FDD4">
      <w:pPr>
        <w:pStyle w:val="ListParagraph"/>
        <w:numPr>
          <w:ilvl w:val="0"/>
          <w:numId w:val="4"/>
        </w:numPr>
        <w:rPr>
          <w:color w:val="auto"/>
        </w:rPr>
      </w:pPr>
      <w:r w:rsidRPr="003E15FD">
        <w:rPr>
          <w:rFonts w:eastAsia="Calibri"/>
          <w:color w:val="auto"/>
        </w:rPr>
        <w:t>C</w:t>
      </w:r>
      <w:r w:rsidRPr="003E15FD" w:rsidR="10D9296E">
        <w:rPr>
          <w:rFonts w:eastAsia="Calibri"/>
          <w:color w:val="auto"/>
        </w:rPr>
        <w:t>losing the biodiversity financing gap</w:t>
      </w:r>
      <w:r w:rsidRPr="003E15FD" w:rsidR="0F57F7AC">
        <w:rPr>
          <w:rFonts w:eastAsia="Calibri"/>
          <w:color w:val="auto"/>
        </w:rPr>
        <w:t xml:space="preserve"> </w:t>
      </w:r>
      <w:r w:rsidRPr="003E15FD" w:rsidR="78086687">
        <w:rPr>
          <w:rFonts w:eastAsia="Calibri"/>
          <w:color w:val="auto"/>
        </w:rPr>
        <w:t xml:space="preserve">and providing </w:t>
      </w:r>
      <w:r w:rsidRPr="003E15FD" w:rsidR="096C6E1B">
        <w:rPr>
          <w:rFonts w:eastAsia="Calibri"/>
          <w:color w:val="auto"/>
        </w:rPr>
        <w:t>(Goal D)</w:t>
      </w:r>
    </w:p>
    <w:p w:rsidRPr="003E15FD" w:rsidR="006E055F" w:rsidP="0015573E" w:rsidRDefault="7FE4BEC5" w14:paraId="67CEC8D9" w14:textId="47B8C720">
      <w:pPr>
        <w:pStyle w:val="ListParagraph"/>
        <w:numPr>
          <w:ilvl w:val="0"/>
          <w:numId w:val="4"/>
        </w:numPr>
        <w:rPr>
          <w:color w:val="auto"/>
        </w:rPr>
      </w:pPr>
      <w:r w:rsidRPr="003E15FD">
        <w:rPr>
          <w:color w:val="auto"/>
        </w:rPr>
        <w:t>P</w:t>
      </w:r>
      <w:r w:rsidRPr="003E15FD" w:rsidR="4D6344F2">
        <w:rPr>
          <w:color w:val="auto"/>
        </w:rPr>
        <w:t xml:space="preserve">rovision of financial resources, capacity-building, technical and scientific </w:t>
      </w:r>
      <w:proofErr w:type="gramStart"/>
      <w:r w:rsidRPr="003E15FD" w:rsidR="30A631E1">
        <w:rPr>
          <w:color w:val="auto"/>
        </w:rPr>
        <w:t>resource</w:t>
      </w:r>
      <w:proofErr w:type="gramEnd"/>
      <w:r w:rsidRPr="003E15FD" w:rsidR="4D6344F2">
        <w:rPr>
          <w:color w:val="auto"/>
        </w:rPr>
        <w:t xml:space="preserve"> and  technology</w:t>
      </w:r>
      <w:r w:rsidRPr="003E15FD" w:rsidR="5B28421E">
        <w:rPr>
          <w:color w:val="auto"/>
        </w:rPr>
        <w:t xml:space="preserve">, </w:t>
      </w:r>
      <w:r w:rsidRPr="003E15FD" w:rsidR="1233AA60">
        <w:rPr>
          <w:color w:val="auto"/>
        </w:rPr>
        <w:t>p</w:t>
      </w:r>
      <w:r w:rsidRPr="003E15FD" w:rsidR="08B37587">
        <w:rPr>
          <w:color w:val="auto"/>
        </w:rPr>
        <w:t>articularly</w:t>
      </w:r>
      <w:r w:rsidRPr="003E15FD" w:rsidR="5B28421E">
        <w:rPr>
          <w:color w:val="auto"/>
        </w:rPr>
        <w:t xml:space="preserve"> for developing countries and SIDS</w:t>
      </w:r>
      <w:r w:rsidRPr="003E15FD" w:rsidR="63E0CA82">
        <w:rPr>
          <w:color w:val="auto"/>
        </w:rPr>
        <w:t xml:space="preserve"> (Goal D)</w:t>
      </w:r>
      <w:r w:rsidRPr="003E15FD" w:rsidR="3955881C">
        <w:rPr>
          <w:color w:val="auto"/>
        </w:rPr>
        <w:t>.</w:t>
      </w:r>
    </w:p>
    <w:p w:rsidRPr="007E54DC" w:rsidR="006E055F" w:rsidP="67D056F8" w:rsidRDefault="006E055F" w14:paraId="2E0F55EE" w14:textId="240999B6">
      <w:pPr>
        <w:rPr>
          <w:b/>
          <w:bCs/>
        </w:rPr>
      </w:pPr>
    </w:p>
    <w:p w:rsidRPr="007E54DC" w:rsidR="006E055F" w:rsidP="67D056F8" w:rsidRDefault="76CF8B3C" w14:paraId="31F9A63A" w14:textId="4F93DBC8">
      <w:r w:rsidRPr="007E54DC">
        <w:t>T</w:t>
      </w:r>
      <w:r w:rsidRPr="007E54DC" w:rsidR="4966DDDD">
        <w:t xml:space="preserve">he GFCR Theory of Change </w:t>
      </w:r>
      <w:r w:rsidRPr="007E54DC" w:rsidR="7B96FB7E">
        <w:t>(</w:t>
      </w:r>
      <w:hyperlink w:anchor="_Annex_E_–">
        <w:r w:rsidRPr="007E54DC" w:rsidR="6CDD2038">
          <w:rPr>
            <w:rStyle w:val="Hyperlink"/>
          </w:rPr>
          <w:t xml:space="preserve">Annex </w:t>
        </w:r>
      </w:hyperlink>
      <w:r w:rsidRPr="007E54DC" w:rsidR="004815A4">
        <w:rPr>
          <w:rStyle w:val="Hyperlink"/>
        </w:rPr>
        <w:t>A</w:t>
      </w:r>
      <w:r w:rsidRPr="007E54DC" w:rsidR="7B96FB7E">
        <w:t xml:space="preserve">) </w:t>
      </w:r>
      <w:r w:rsidRPr="007E54DC">
        <w:t xml:space="preserve">still </w:t>
      </w:r>
      <w:r w:rsidRPr="007E54DC" w:rsidR="4966DDDD">
        <w:t>encompasses four outcomes, designed around a “protect, transform, restore and recover” framework.</w:t>
      </w:r>
      <w:r w:rsidRPr="007E54DC" w:rsidR="7B96FB7E">
        <w:t xml:space="preserve"> </w:t>
      </w:r>
      <w:r w:rsidRPr="007E54DC" w:rsidR="00083D11">
        <w:t>Although the pipeline of projects has expanded it remains closely aligned with the BPF priority regions and outcomes and t</w:t>
      </w:r>
      <w:r w:rsidRPr="007E54DC" w:rsidR="00A43B90">
        <w:t>herefore</w:t>
      </w:r>
      <w:r w:rsidRPr="007E54DC" w:rsidR="00F12462">
        <w:t>,</w:t>
      </w:r>
      <w:r w:rsidRPr="007E54DC" w:rsidR="00A43B90">
        <w:t xml:space="preserve"> there are limited u</w:t>
      </w:r>
      <w:r w:rsidRPr="007E54DC" w:rsidR="006E055F">
        <w:t xml:space="preserve">pdates to the original </w:t>
      </w:r>
      <w:r w:rsidRPr="007E54DC" w:rsidR="00A43B90">
        <w:t xml:space="preserve">strategic </w:t>
      </w:r>
      <w:r w:rsidRPr="007E54DC" w:rsidR="006E055F">
        <w:t xml:space="preserve">case. </w:t>
      </w:r>
    </w:p>
    <w:p w:rsidRPr="007E54DC" w:rsidR="006E055F" w:rsidP="006E055F" w:rsidRDefault="00AC4A42" w14:paraId="516ABD69" w14:textId="3CF8DFEC">
      <w:pPr>
        <w:spacing w:after="0"/>
      </w:pPr>
      <w:r w:rsidRPr="007E54DC">
        <w:t>As discussed, d</w:t>
      </w:r>
      <w:r w:rsidRPr="007E54DC" w:rsidR="006E055F">
        <w:t>uring 2021</w:t>
      </w:r>
      <w:r w:rsidRPr="007E54DC">
        <w:t xml:space="preserve"> the</w:t>
      </w:r>
      <w:r w:rsidRPr="007E54DC" w:rsidR="006E055F">
        <w:t xml:space="preserve"> GFCR focused on building its initial operational structures</w:t>
      </w:r>
      <w:r w:rsidRPr="007E54DC" w:rsidR="00083D11">
        <w:t>.</w:t>
      </w:r>
      <w:r w:rsidRPr="007E54DC" w:rsidR="006E055F">
        <w:t xml:space="preserve"> Over the course of 2021 four GFCR Executive Board meetings took place, and several key</w:t>
      </w:r>
      <w:r w:rsidRPr="007E54DC" w:rsidR="0059188B">
        <w:t xml:space="preserve"> strategic</w:t>
      </w:r>
      <w:r w:rsidRPr="007E54DC" w:rsidR="006E055F">
        <w:t xml:space="preserve"> decisions were made including:</w:t>
      </w:r>
    </w:p>
    <w:p w:rsidRPr="007E54DC" w:rsidR="006E055F" w:rsidP="006628DE" w:rsidRDefault="006E055F" w14:paraId="06F143C8" w14:textId="32B3449D">
      <w:pPr>
        <w:pStyle w:val="ListParagraph"/>
        <w:numPr>
          <w:ilvl w:val="0"/>
          <w:numId w:val="19"/>
        </w:numPr>
        <w:spacing w:after="0"/>
        <w:contextualSpacing w:val="0"/>
        <w:rPr>
          <w:rFonts w:eastAsia="Calibri"/>
        </w:rPr>
      </w:pPr>
      <w:r w:rsidRPr="007E54DC">
        <w:rPr>
          <w:rFonts w:eastAsia="Calibri"/>
        </w:rPr>
        <w:t>Approval of the GFCR Investment Plan which informed initial site selection and prioriti</w:t>
      </w:r>
      <w:r w:rsidRPr="007E54DC" w:rsidR="00083D11">
        <w:rPr>
          <w:rFonts w:eastAsia="Calibri"/>
        </w:rPr>
        <w:t>s</w:t>
      </w:r>
      <w:r w:rsidRPr="007E54DC">
        <w:rPr>
          <w:rFonts w:eastAsia="Calibri"/>
        </w:rPr>
        <w:t>ation process</w:t>
      </w:r>
      <w:r w:rsidRPr="007E54DC" w:rsidR="00083D11">
        <w:rPr>
          <w:rFonts w:eastAsia="Calibri"/>
        </w:rPr>
        <w:t>es</w:t>
      </w:r>
      <w:r w:rsidRPr="007E54DC">
        <w:rPr>
          <w:rFonts w:eastAsia="Calibri"/>
        </w:rPr>
        <w:t xml:space="preserve"> and helped to identify key business models and partners</w:t>
      </w:r>
      <w:r w:rsidRPr="007E54DC" w:rsidR="00B25C33">
        <w:rPr>
          <w:rFonts w:eastAsia="Calibri"/>
        </w:rPr>
        <w:t>.</w:t>
      </w:r>
    </w:p>
    <w:p w:rsidRPr="007E54DC" w:rsidR="006E055F" w:rsidP="23A59346" w:rsidRDefault="2A89E96E" w14:paraId="70C212F0" w14:textId="69C0E040">
      <w:pPr>
        <w:pStyle w:val="ListParagraph"/>
        <w:numPr>
          <w:ilvl w:val="0"/>
          <w:numId w:val="19"/>
        </w:numPr>
        <w:spacing w:after="0"/>
        <w:rPr>
          <w:rFonts w:eastAsia="Calibri"/>
        </w:rPr>
      </w:pPr>
      <w:r w:rsidRPr="007E54DC">
        <w:rPr>
          <w:rFonts w:eastAsia="Calibri"/>
        </w:rPr>
        <w:t xml:space="preserve">Approval to allocate £0.8m for seven preparatory grants for programme proposal development and £19.3m for five programme proposals covering six coral reef countries. </w:t>
      </w:r>
    </w:p>
    <w:p w:rsidRPr="007E54DC" w:rsidR="006E055F" w:rsidP="006628DE" w:rsidRDefault="2A89E96E" w14:paraId="605D85BC" w14:textId="3DC2766B">
      <w:pPr>
        <w:pStyle w:val="ListParagraph"/>
        <w:numPr>
          <w:ilvl w:val="0"/>
          <w:numId w:val="19"/>
        </w:numPr>
        <w:spacing w:after="0"/>
        <w:contextualSpacing w:val="0"/>
        <w:rPr>
          <w:rFonts w:eastAsia="Calibri"/>
        </w:rPr>
      </w:pPr>
      <w:r w:rsidRPr="007E54DC">
        <w:rPr>
          <w:rFonts w:eastAsia="Calibri"/>
        </w:rPr>
        <w:t>Approval of Institutional Partnerships with the International Union for Conservation of Nature (IUCN) and Ocean Risk and Resilience Action Alliance (ORRAA) to strengthen collaboration between complementary organisations with initiatives in marine conservation</w:t>
      </w:r>
      <w:r w:rsidRPr="007E54DC" w:rsidR="685974D8">
        <w:rPr>
          <w:rFonts w:eastAsia="Calibri"/>
        </w:rPr>
        <w:t>.</w:t>
      </w:r>
    </w:p>
    <w:p w:rsidRPr="007E54DC" w:rsidR="006E055F" w:rsidP="006628DE" w:rsidRDefault="2A89E96E" w14:paraId="7EE06392" w14:textId="35D107C8">
      <w:pPr>
        <w:pStyle w:val="ListParagraph"/>
        <w:numPr>
          <w:ilvl w:val="0"/>
          <w:numId w:val="19"/>
        </w:numPr>
        <w:spacing w:after="0"/>
        <w:contextualSpacing w:val="0"/>
        <w:rPr>
          <w:rFonts w:eastAsia="Calibri"/>
        </w:rPr>
      </w:pPr>
      <w:r w:rsidRPr="007E54DC">
        <w:rPr>
          <w:rFonts w:eastAsia="Calibri"/>
        </w:rPr>
        <w:t>Approval of Advisory Board Terms of Reference (TOR) to provide strategic guidance to the GFCR Grant and Investment Fund</w:t>
      </w:r>
      <w:r w:rsidRPr="007E54DC" w:rsidR="685974D8">
        <w:rPr>
          <w:rFonts w:eastAsia="Calibri"/>
        </w:rPr>
        <w:t>.</w:t>
      </w:r>
    </w:p>
    <w:p w:rsidRPr="007E54DC" w:rsidR="006E055F" w:rsidP="006628DE" w:rsidRDefault="2A89E96E" w14:paraId="0158D5EC" w14:textId="77777777">
      <w:pPr>
        <w:pStyle w:val="ListParagraph"/>
        <w:numPr>
          <w:ilvl w:val="0"/>
          <w:numId w:val="19"/>
        </w:numPr>
        <w:spacing w:after="240"/>
        <w:contextualSpacing w:val="0"/>
        <w:rPr>
          <w:rFonts w:eastAsia="Calibri"/>
        </w:rPr>
      </w:pPr>
      <w:r w:rsidRPr="007E54DC">
        <w:rPr>
          <w:rFonts w:eastAsia="Calibri"/>
        </w:rPr>
        <w:t>Approval of the “GFCR Blue Bridge” service managed by UNCDF and with the aim of providing businesses and projects identified by GFCR Convening Agents with concessional loans, guarantees, and grants in various forms to help reef-positive businesses grow and attract private investment and scale impact for coral reefs and communities.</w:t>
      </w:r>
    </w:p>
    <w:p w:rsidRPr="007E54DC" w:rsidR="000D18C3" w:rsidP="000D18C3" w:rsidRDefault="000D18C3" w14:paraId="27311BC1" w14:textId="77777777" w14:noSpellErr="1">
      <w:pPr>
        <w:pStyle w:val="Heading3"/>
        <w:rPr/>
      </w:pPr>
      <w:bookmarkStart w:name="_Grant_Commitments" w:id="52"/>
      <w:bookmarkStart w:name="_Toc111401986" w:id="54"/>
      <w:bookmarkEnd w:id="52"/>
      <w:bookmarkStart w:name="_Toc194505249" w:id="865763618"/>
      <w:r w:rsidR="000D18C3">
        <w:rPr/>
        <w:t>Development of the GFCR Strategy</w:t>
      </w:r>
      <w:bookmarkEnd w:id="865763618"/>
    </w:p>
    <w:p w:rsidRPr="007E54DC" w:rsidR="000D18C3" w:rsidP="00C92CBA" w:rsidRDefault="000D18C3" w14:paraId="74A6344B" w14:textId="0BCE4C8D">
      <w:r w:rsidRPr="007E54DC">
        <w:t>Developments are also taking shape through a new GFCR strategy for monitoring and evaluation as the fund becomes more established. The form and function of this strategy and the tool</w:t>
      </w:r>
      <w:r w:rsidRPr="007E54DC" w:rsidR="00083D11">
        <w:t>kit</w:t>
      </w:r>
      <w:r w:rsidRPr="007E54DC">
        <w:t xml:space="preserve"> that will support its implementation </w:t>
      </w:r>
      <w:r w:rsidRPr="007E54DC" w:rsidR="00083D11">
        <w:t>are being finalised and draft versions were presented to the EB at the September EB. F</w:t>
      </w:r>
      <w:r w:rsidRPr="007E54DC">
        <w:t xml:space="preserve">eedback </w:t>
      </w:r>
      <w:r w:rsidRPr="007E54DC" w:rsidR="00083D11">
        <w:t xml:space="preserve">has been provided, including by Defra, </w:t>
      </w:r>
      <w:r w:rsidRPr="007E54DC">
        <w:t xml:space="preserve">and final approval </w:t>
      </w:r>
      <w:r w:rsidRPr="007E54DC" w:rsidR="00083D11">
        <w:t xml:space="preserve">is expected in March 2023 </w:t>
      </w:r>
      <w:r w:rsidR="003E15FD">
        <w:t>for</w:t>
      </w:r>
      <w:r w:rsidRPr="007E54DC" w:rsidR="00083D11">
        <w:t xml:space="preserve"> the new GFCR M&amp;E Toolkit</w:t>
      </w:r>
      <w:r w:rsidRPr="007E54DC">
        <w:t xml:space="preserve">. </w:t>
      </w:r>
    </w:p>
    <w:p w:rsidRPr="007E54DC" w:rsidR="00D746D4" w:rsidP="00C92CBA" w:rsidRDefault="00D746D4" w14:paraId="37696723" w14:textId="14229797">
      <w:r w:rsidRPr="007E54DC">
        <w:t xml:space="preserve">Further policies have been developed and approved this year: </w:t>
      </w:r>
    </w:p>
    <w:p w:rsidRPr="007E54DC" w:rsidR="00D746D4" w:rsidP="00802E75" w:rsidRDefault="000D353E" w14:paraId="1ACF5A41" w14:textId="2C2F6CC9">
      <w:pPr>
        <w:pStyle w:val="ListParagraph"/>
        <w:numPr>
          <w:ilvl w:val="0"/>
          <w:numId w:val="43"/>
        </w:numPr>
        <w:rPr>
          <w:rStyle w:val="normaltextrun"/>
        </w:rPr>
      </w:pPr>
      <w:r w:rsidRPr="007E54DC">
        <w:rPr>
          <w:rStyle w:val="normaltextrun"/>
        </w:rPr>
        <w:t xml:space="preserve">The GFCR Risk Management </w:t>
      </w:r>
      <w:r w:rsidRPr="007E54DC" w:rsidR="003D6893">
        <w:rPr>
          <w:rStyle w:val="normaltextrun"/>
        </w:rPr>
        <w:t>System, which</w:t>
      </w:r>
      <w:r w:rsidRPr="007E54DC" w:rsidR="00D746D4">
        <w:rPr>
          <w:rStyle w:val="normaltextrun"/>
        </w:rPr>
        <w:t xml:space="preserve"> </w:t>
      </w:r>
      <w:r w:rsidRPr="007E54DC">
        <w:rPr>
          <w:rStyle w:val="normaltextrun"/>
        </w:rPr>
        <w:t xml:space="preserve">was finalised in early 2022, helps to identify and mitigate programmatic, institutional, and contextual risks that might impact the Fund’s performance and reputation; it also ensures that we maximize gains and minimize harm or losses at all levels of operations from global to local. </w:t>
      </w:r>
    </w:p>
    <w:p w:rsidRPr="003E15FD" w:rsidR="003E15FD" w:rsidP="003E15FD" w:rsidRDefault="00D746D4" w14:paraId="1BC486A6" w14:textId="6D0A0CA2">
      <w:pPr>
        <w:pStyle w:val="ListParagraph"/>
        <w:numPr>
          <w:ilvl w:val="0"/>
          <w:numId w:val="43"/>
        </w:numPr>
        <w:rPr>
          <w:rStyle w:val="normaltextrun"/>
          <w:rFonts w:asciiTheme="minorHAnsi" w:hAnsiTheme="minorHAnsi" w:cstheme="minorHAnsi"/>
        </w:rPr>
      </w:pPr>
      <w:r w:rsidRPr="007E54DC">
        <w:rPr>
          <w:rStyle w:val="normaltextrun"/>
          <w:rFonts w:asciiTheme="minorHAnsi" w:hAnsiTheme="minorHAnsi" w:cstheme="minorHAnsi"/>
        </w:rPr>
        <w:t xml:space="preserve">The GFCR Safeguards </w:t>
      </w:r>
      <w:r w:rsidRPr="003E15FD" w:rsidR="003E15FD">
        <w:rPr>
          <w:rStyle w:val="normaltextrun"/>
          <w:rFonts w:asciiTheme="minorHAnsi" w:hAnsiTheme="minorHAnsi" w:cstheme="minorHAnsi"/>
        </w:rPr>
        <w:t xml:space="preserve">Policy is an overarching framework for identifying and managing risks across the GFCR; Social and environmental risks are an inherent part of programme and project development across GFCR’s Grant and Equity Funds, and that responsibility for identifying, assessing, and managing risks rests at different levels within the Fund architecture. This framework was </w:t>
      </w:r>
      <w:r w:rsidR="003E15FD">
        <w:rPr>
          <w:rStyle w:val="normaltextrun"/>
          <w:rFonts w:asciiTheme="minorHAnsi" w:hAnsiTheme="minorHAnsi" w:cstheme="minorHAnsi"/>
        </w:rPr>
        <w:t>a</w:t>
      </w:r>
      <w:r w:rsidRPr="003E15FD" w:rsidR="003E15FD">
        <w:rPr>
          <w:rStyle w:val="normaltextrun"/>
          <w:rFonts w:asciiTheme="minorHAnsi" w:hAnsiTheme="minorHAnsi" w:cstheme="minorHAnsi"/>
        </w:rPr>
        <w:t>pproved by the EB in June 2022.</w:t>
      </w:r>
    </w:p>
    <w:p w:rsidRPr="003E15FD" w:rsidR="003E15FD" w:rsidP="003E15FD" w:rsidRDefault="003E15FD" w14:paraId="5D6E4AB2" w14:textId="77777777">
      <w:pPr>
        <w:pStyle w:val="ListParagraph"/>
        <w:numPr>
          <w:ilvl w:val="0"/>
          <w:numId w:val="43"/>
        </w:numPr>
        <w:rPr>
          <w:rStyle w:val="normaltextrun"/>
          <w:rFonts w:asciiTheme="minorHAnsi" w:hAnsiTheme="minorHAnsi" w:cstheme="minorHAnsi"/>
        </w:rPr>
      </w:pPr>
      <w:r w:rsidRPr="003E15FD">
        <w:rPr>
          <w:rStyle w:val="normaltextrun"/>
          <w:rFonts w:asciiTheme="minorHAnsi" w:hAnsiTheme="minorHAnsi" w:cstheme="minorHAnsi"/>
        </w:rPr>
        <w:t xml:space="preserve">Gender Equality Policy closely aligns with the numerous international commitments, resolutions and declarations addressing gender, climate change and sustainable development. The framework ensures gender equality and women’s empowerment is a strategic and operational imperative for the GFCR. This policy was also approved in June 2022. </w:t>
      </w:r>
    </w:p>
    <w:p w:rsidRPr="003E15FD" w:rsidR="003E15FD" w:rsidP="003E15FD" w:rsidRDefault="003E15FD" w14:paraId="77806E37" w14:textId="6B3477F0">
      <w:pPr>
        <w:pStyle w:val="ListParagraph"/>
        <w:rPr>
          <w:rFonts w:asciiTheme="minorHAnsi" w:hAnsiTheme="minorHAnsi" w:cstheme="minorHAnsi"/>
        </w:rPr>
      </w:pPr>
    </w:p>
    <w:p w:rsidRPr="007E54DC" w:rsidR="006E055F" w:rsidP="0022760D" w:rsidRDefault="00383C21" w14:paraId="1EBA6ACD" w14:textId="491D2E45" w14:noSpellErr="1">
      <w:pPr>
        <w:pStyle w:val="Heading2"/>
        <w:rPr/>
      </w:pPr>
      <w:bookmarkStart w:name="_Toc111401987" w:id="55"/>
      <w:bookmarkEnd w:id="54"/>
      <w:bookmarkStart w:name="_Toc88831099" w:id="1285192948"/>
      <w:r w:rsidR="00383C21">
        <w:rPr/>
        <w:t xml:space="preserve">Section 4.2: </w:t>
      </w:r>
      <w:r w:rsidR="006E055F">
        <w:rPr/>
        <w:t>Economic</w:t>
      </w:r>
      <w:bookmarkEnd w:id="55"/>
      <w:r w:rsidR="006D39E5">
        <w:rPr/>
        <w:t xml:space="preserve"> Case</w:t>
      </w:r>
      <w:bookmarkEnd w:id="1285192948"/>
    </w:p>
    <w:p w:rsidRPr="007E54DC" w:rsidR="006E055F" w:rsidP="006E055F" w:rsidRDefault="4966DDDD" w14:paraId="70A00DB7" w14:textId="690FFD23">
      <w:r w:rsidRPr="007E54DC">
        <w:rPr>
          <w:b/>
          <w:bCs/>
        </w:rPr>
        <w:t xml:space="preserve">As stated in the expected results section, the economic appraisal has been updated to ensure the GFCR remains </w:t>
      </w:r>
      <w:r w:rsidRPr="007E54DC" w:rsidR="7B182663">
        <w:rPr>
          <w:b/>
          <w:bCs/>
        </w:rPr>
        <w:t xml:space="preserve">the best option and </w:t>
      </w:r>
      <w:r w:rsidRPr="007E54DC">
        <w:rPr>
          <w:b/>
          <w:bCs/>
        </w:rPr>
        <w:t xml:space="preserve">likely to deliver value for money. </w:t>
      </w:r>
      <w:r w:rsidRPr="007E54DC">
        <w:t xml:space="preserve">Updates are set out in full within </w:t>
      </w:r>
      <w:hyperlink w:anchor="_Annex_F_–">
        <w:r w:rsidRPr="007E54DC" w:rsidR="324D51C1">
          <w:rPr>
            <w:rStyle w:val="Hyperlink"/>
          </w:rPr>
          <w:t>Annex</w:t>
        </w:r>
        <w:r w:rsidRPr="007E54DC" w:rsidR="00E7338B">
          <w:rPr>
            <w:rStyle w:val="Hyperlink"/>
          </w:rPr>
          <w:t xml:space="preserve"> </w:t>
        </w:r>
      </w:hyperlink>
      <w:r w:rsidRPr="007E54DC" w:rsidR="006E0401">
        <w:rPr>
          <w:rStyle w:val="Hyperlink"/>
        </w:rPr>
        <w:t>E</w:t>
      </w:r>
      <w:r w:rsidRPr="007E54DC" w:rsidR="324D51C1">
        <w:t xml:space="preserve"> (attached separately)</w:t>
      </w:r>
      <w:r w:rsidRPr="007E54DC">
        <w:t xml:space="preserve">. Table </w:t>
      </w:r>
      <w:r w:rsidRPr="007E54DC" w:rsidR="00EE1CBB">
        <w:t>9</w:t>
      </w:r>
      <w:r w:rsidRPr="007E54DC">
        <w:t xml:space="preserve"> summarises the updated appraisal, with 4 additional GFCR projects appraised. </w:t>
      </w:r>
    </w:p>
    <w:tbl>
      <w:tblPr>
        <w:tblStyle w:val="TableGrid"/>
        <w:tblW w:w="7755" w:type="dxa"/>
        <w:jc w:val="center"/>
        <w:tblLook w:val="04A0" w:firstRow="1" w:lastRow="0" w:firstColumn="1" w:lastColumn="0" w:noHBand="0" w:noVBand="1"/>
      </w:tblPr>
      <w:tblGrid>
        <w:gridCol w:w="3077"/>
        <w:gridCol w:w="2384"/>
        <w:gridCol w:w="2294"/>
      </w:tblGrid>
      <w:tr w:rsidRPr="007E54DC" w:rsidR="006E055F" w:rsidTr="23A59346" w14:paraId="4273DF52" w14:textId="77777777">
        <w:trPr>
          <w:trHeight w:val="279"/>
          <w:jc w:val="center"/>
        </w:trPr>
        <w:tc>
          <w:tcPr>
            <w:tcW w:w="3077" w:type="dxa"/>
            <w:shd w:val="clear" w:color="auto" w:fill="008938"/>
            <w:vAlign w:val="center"/>
          </w:tcPr>
          <w:p w:rsidRPr="007E54DC" w:rsidR="006E055F" w:rsidP="002B200D" w:rsidRDefault="006E055F" w14:paraId="473B1E1D" w14:textId="77777777">
            <w:pPr>
              <w:spacing w:before="0" w:after="0"/>
              <w:rPr>
                <w:b/>
                <w:bCs/>
                <w:color w:val="FFFFFF" w:themeColor="background1"/>
                <w:sz w:val="22"/>
                <w:szCs w:val="22"/>
              </w:rPr>
            </w:pPr>
            <w:r w:rsidRPr="007E54DC">
              <w:rPr>
                <w:b/>
                <w:bCs/>
                <w:color w:val="FFFFFF" w:themeColor="background1"/>
                <w:sz w:val="22"/>
                <w:szCs w:val="22"/>
              </w:rPr>
              <w:t>Project</w:t>
            </w:r>
          </w:p>
        </w:tc>
        <w:tc>
          <w:tcPr>
            <w:tcW w:w="2384" w:type="dxa"/>
            <w:shd w:val="clear" w:color="auto" w:fill="008938"/>
          </w:tcPr>
          <w:p w:rsidRPr="007E54DC" w:rsidR="006E055F" w:rsidP="004C1482" w:rsidRDefault="006E055F" w14:paraId="41FF2975" w14:textId="77777777">
            <w:pPr>
              <w:spacing w:before="0" w:after="0"/>
              <w:jc w:val="center"/>
              <w:rPr>
                <w:b/>
                <w:bCs/>
                <w:color w:val="FFFFFF" w:themeColor="background1"/>
                <w:sz w:val="22"/>
                <w:szCs w:val="22"/>
              </w:rPr>
            </w:pPr>
            <w:r w:rsidRPr="007E54DC">
              <w:rPr>
                <w:b/>
                <w:bCs/>
                <w:color w:val="FFFFFF" w:themeColor="background1"/>
                <w:sz w:val="22"/>
                <w:szCs w:val="22"/>
              </w:rPr>
              <w:t>Assessed in original business case?</w:t>
            </w:r>
          </w:p>
        </w:tc>
        <w:tc>
          <w:tcPr>
            <w:tcW w:w="2294" w:type="dxa"/>
            <w:shd w:val="clear" w:color="auto" w:fill="008938"/>
          </w:tcPr>
          <w:p w:rsidRPr="007E54DC" w:rsidR="006E055F" w:rsidP="004C1482" w:rsidRDefault="006E055F" w14:paraId="74E64F0F" w14:textId="77777777">
            <w:pPr>
              <w:spacing w:before="0" w:after="0"/>
              <w:jc w:val="center"/>
              <w:rPr>
                <w:b/>
                <w:bCs/>
                <w:color w:val="FFFFFF" w:themeColor="background1"/>
                <w:sz w:val="22"/>
                <w:szCs w:val="22"/>
              </w:rPr>
            </w:pPr>
            <w:r w:rsidRPr="007E54DC">
              <w:rPr>
                <w:b/>
                <w:bCs/>
                <w:color w:val="FFFFFF" w:themeColor="background1"/>
                <w:sz w:val="22"/>
                <w:szCs w:val="22"/>
              </w:rPr>
              <w:t>Assessed in update addendum?</w:t>
            </w:r>
          </w:p>
        </w:tc>
      </w:tr>
      <w:tr w:rsidRPr="007E54DC" w:rsidR="006E055F" w:rsidTr="23A59346" w14:paraId="2D31DD0B" w14:textId="77777777">
        <w:trPr>
          <w:trHeight w:val="262"/>
          <w:jc w:val="center"/>
        </w:trPr>
        <w:tc>
          <w:tcPr>
            <w:tcW w:w="3077" w:type="dxa"/>
          </w:tcPr>
          <w:p w:rsidRPr="007E54DC" w:rsidR="006E055F" w:rsidP="002B200D" w:rsidRDefault="006E055F" w14:paraId="724B23C7" w14:textId="77777777">
            <w:pPr>
              <w:spacing w:before="0" w:after="0"/>
              <w:rPr>
                <w:sz w:val="22"/>
                <w:szCs w:val="22"/>
              </w:rPr>
            </w:pPr>
            <w:r w:rsidRPr="007E54DC">
              <w:rPr>
                <w:sz w:val="22"/>
                <w:szCs w:val="22"/>
              </w:rPr>
              <w:t>Fiji</w:t>
            </w:r>
          </w:p>
        </w:tc>
        <w:tc>
          <w:tcPr>
            <w:tcW w:w="2384" w:type="dxa"/>
            <w:shd w:val="clear" w:color="auto" w:fill="C5E0B3" w:themeFill="accent6" w:themeFillTint="66"/>
          </w:tcPr>
          <w:p w:rsidRPr="007E54DC" w:rsidR="006E055F" w:rsidP="004C1482" w:rsidRDefault="006E055F" w14:paraId="47A88513" w14:textId="77777777">
            <w:pPr>
              <w:spacing w:before="0" w:after="0"/>
              <w:jc w:val="center"/>
              <w:rPr>
                <w:sz w:val="22"/>
                <w:szCs w:val="22"/>
              </w:rPr>
            </w:pPr>
            <w:r w:rsidRPr="007E54DC">
              <w:rPr>
                <w:sz w:val="22"/>
                <w:szCs w:val="22"/>
              </w:rPr>
              <w:t>Y</w:t>
            </w:r>
          </w:p>
        </w:tc>
        <w:tc>
          <w:tcPr>
            <w:tcW w:w="2294" w:type="dxa"/>
            <w:shd w:val="clear" w:color="auto" w:fill="C5E0B3" w:themeFill="accent6" w:themeFillTint="66"/>
          </w:tcPr>
          <w:p w:rsidRPr="007E54DC" w:rsidR="006E055F" w:rsidP="004C1482" w:rsidRDefault="006E055F" w14:paraId="27060671" w14:textId="77777777">
            <w:pPr>
              <w:spacing w:before="0" w:after="0"/>
              <w:jc w:val="center"/>
              <w:rPr>
                <w:sz w:val="22"/>
                <w:szCs w:val="22"/>
              </w:rPr>
            </w:pPr>
            <w:r w:rsidRPr="007E54DC">
              <w:rPr>
                <w:sz w:val="22"/>
                <w:szCs w:val="22"/>
              </w:rPr>
              <w:t>Y</w:t>
            </w:r>
          </w:p>
        </w:tc>
      </w:tr>
      <w:tr w:rsidRPr="007E54DC" w:rsidR="006E055F" w:rsidTr="23A59346" w14:paraId="60325C89" w14:textId="77777777">
        <w:trPr>
          <w:trHeight w:val="279"/>
          <w:jc w:val="center"/>
        </w:trPr>
        <w:tc>
          <w:tcPr>
            <w:tcW w:w="3077" w:type="dxa"/>
          </w:tcPr>
          <w:p w:rsidRPr="007E54DC" w:rsidR="006E055F" w:rsidP="002B200D" w:rsidRDefault="006E055F" w14:paraId="6CF9A71D" w14:textId="77777777">
            <w:pPr>
              <w:spacing w:before="0" w:after="0"/>
              <w:rPr>
                <w:sz w:val="22"/>
                <w:szCs w:val="22"/>
              </w:rPr>
            </w:pPr>
            <w:r w:rsidRPr="007E54DC">
              <w:rPr>
                <w:sz w:val="22"/>
                <w:szCs w:val="22"/>
              </w:rPr>
              <w:t>Philippines</w:t>
            </w:r>
          </w:p>
        </w:tc>
        <w:tc>
          <w:tcPr>
            <w:tcW w:w="2384" w:type="dxa"/>
            <w:shd w:val="clear" w:color="auto" w:fill="C5E0B3" w:themeFill="accent6" w:themeFillTint="66"/>
          </w:tcPr>
          <w:p w:rsidRPr="007E54DC" w:rsidR="006E055F" w:rsidP="004C1482" w:rsidRDefault="006E055F" w14:paraId="408D059C" w14:textId="77777777">
            <w:pPr>
              <w:spacing w:before="0" w:after="0"/>
              <w:jc w:val="center"/>
              <w:rPr>
                <w:sz w:val="22"/>
                <w:szCs w:val="22"/>
              </w:rPr>
            </w:pPr>
            <w:r w:rsidRPr="007E54DC">
              <w:rPr>
                <w:sz w:val="22"/>
                <w:szCs w:val="22"/>
              </w:rPr>
              <w:t>Y</w:t>
            </w:r>
          </w:p>
        </w:tc>
        <w:tc>
          <w:tcPr>
            <w:tcW w:w="2294" w:type="dxa"/>
            <w:shd w:val="clear" w:color="auto" w:fill="C5E0B3" w:themeFill="accent6" w:themeFillTint="66"/>
          </w:tcPr>
          <w:p w:rsidRPr="007E54DC" w:rsidR="006E055F" w:rsidP="004C1482" w:rsidRDefault="006E055F" w14:paraId="7D1D1818" w14:textId="77777777">
            <w:pPr>
              <w:spacing w:before="0" w:after="0"/>
              <w:jc w:val="center"/>
              <w:rPr>
                <w:sz w:val="22"/>
                <w:szCs w:val="22"/>
              </w:rPr>
            </w:pPr>
            <w:r w:rsidRPr="007E54DC">
              <w:rPr>
                <w:sz w:val="22"/>
                <w:szCs w:val="22"/>
              </w:rPr>
              <w:t>Y</w:t>
            </w:r>
          </w:p>
        </w:tc>
      </w:tr>
      <w:tr w:rsidRPr="007E54DC" w:rsidR="006E055F" w:rsidTr="23A59346" w14:paraId="257259F9" w14:textId="77777777">
        <w:trPr>
          <w:trHeight w:val="262"/>
          <w:jc w:val="center"/>
        </w:trPr>
        <w:tc>
          <w:tcPr>
            <w:tcW w:w="3077" w:type="dxa"/>
          </w:tcPr>
          <w:p w:rsidRPr="007E54DC" w:rsidR="006E055F" w:rsidP="002B200D" w:rsidRDefault="006E055F" w14:paraId="0714CB84" w14:textId="77777777">
            <w:pPr>
              <w:spacing w:before="0" w:after="0"/>
              <w:rPr>
                <w:sz w:val="22"/>
                <w:szCs w:val="22"/>
              </w:rPr>
            </w:pPr>
            <w:r w:rsidRPr="007E54DC">
              <w:rPr>
                <w:sz w:val="22"/>
                <w:szCs w:val="22"/>
              </w:rPr>
              <w:t>The Bahamas</w:t>
            </w:r>
          </w:p>
        </w:tc>
        <w:tc>
          <w:tcPr>
            <w:tcW w:w="2384" w:type="dxa"/>
            <w:shd w:val="clear" w:color="auto" w:fill="FF9999"/>
          </w:tcPr>
          <w:p w:rsidRPr="007E54DC" w:rsidR="006E055F" w:rsidP="004C1482" w:rsidRDefault="006E055F" w14:paraId="43D02EF7" w14:textId="77777777">
            <w:pPr>
              <w:spacing w:before="0" w:after="0"/>
              <w:jc w:val="center"/>
              <w:rPr>
                <w:sz w:val="22"/>
                <w:szCs w:val="22"/>
              </w:rPr>
            </w:pPr>
            <w:r w:rsidRPr="007E54DC">
              <w:rPr>
                <w:sz w:val="22"/>
                <w:szCs w:val="22"/>
              </w:rPr>
              <w:t>N</w:t>
            </w:r>
          </w:p>
        </w:tc>
        <w:tc>
          <w:tcPr>
            <w:tcW w:w="2294" w:type="dxa"/>
            <w:shd w:val="clear" w:color="auto" w:fill="FF9999"/>
          </w:tcPr>
          <w:p w:rsidRPr="007E54DC" w:rsidR="006E055F" w:rsidP="004C1482" w:rsidRDefault="5E2F0155" w14:paraId="24A6936C" w14:textId="77777777">
            <w:pPr>
              <w:spacing w:before="0" w:after="0"/>
              <w:jc w:val="center"/>
              <w:rPr>
                <w:sz w:val="22"/>
                <w:szCs w:val="22"/>
              </w:rPr>
            </w:pPr>
            <w:r w:rsidRPr="007E54DC">
              <w:rPr>
                <w:sz w:val="22"/>
                <w:szCs w:val="22"/>
              </w:rPr>
              <w:t>N</w:t>
            </w:r>
            <w:r w:rsidRPr="007E54DC" w:rsidR="006E055F">
              <w:rPr>
                <w:rStyle w:val="FootnoteReference"/>
                <w:sz w:val="22"/>
                <w:szCs w:val="22"/>
              </w:rPr>
              <w:footnoteReference w:id="24"/>
            </w:r>
          </w:p>
        </w:tc>
      </w:tr>
      <w:tr w:rsidRPr="007E54DC" w:rsidR="006E055F" w:rsidTr="23A59346" w14:paraId="6E61455A" w14:textId="77777777">
        <w:trPr>
          <w:trHeight w:val="279"/>
          <w:jc w:val="center"/>
        </w:trPr>
        <w:tc>
          <w:tcPr>
            <w:tcW w:w="3077" w:type="dxa"/>
          </w:tcPr>
          <w:p w:rsidRPr="007E54DC" w:rsidR="006E055F" w:rsidP="002B200D" w:rsidRDefault="006E055F" w14:paraId="2EF260BA" w14:textId="77777777">
            <w:pPr>
              <w:spacing w:before="0" w:after="0"/>
              <w:rPr>
                <w:sz w:val="22"/>
                <w:szCs w:val="22"/>
              </w:rPr>
            </w:pPr>
            <w:r w:rsidRPr="007E54DC">
              <w:rPr>
                <w:sz w:val="22"/>
                <w:szCs w:val="22"/>
              </w:rPr>
              <w:t>Papua New Guinea</w:t>
            </w:r>
          </w:p>
        </w:tc>
        <w:tc>
          <w:tcPr>
            <w:tcW w:w="2384" w:type="dxa"/>
            <w:shd w:val="clear" w:color="auto" w:fill="FF9999"/>
          </w:tcPr>
          <w:p w:rsidRPr="007E54DC" w:rsidR="006E055F" w:rsidP="004C1482" w:rsidRDefault="006E055F" w14:paraId="23758D0C" w14:textId="77777777">
            <w:pPr>
              <w:spacing w:before="0" w:after="0"/>
              <w:jc w:val="center"/>
              <w:rPr>
                <w:sz w:val="22"/>
                <w:szCs w:val="22"/>
              </w:rPr>
            </w:pPr>
            <w:r w:rsidRPr="007E54DC">
              <w:rPr>
                <w:sz w:val="22"/>
                <w:szCs w:val="22"/>
              </w:rPr>
              <w:t>N</w:t>
            </w:r>
          </w:p>
        </w:tc>
        <w:tc>
          <w:tcPr>
            <w:tcW w:w="2294" w:type="dxa"/>
            <w:shd w:val="clear" w:color="auto" w:fill="C5E0B3" w:themeFill="accent6" w:themeFillTint="66"/>
          </w:tcPr>
          <w:p w:rsidRPr="007E54DC" w:rsidR="006E055F" w:rsidP="004C1482" w:rsidRDefault="006E055F" w14:paraId="6FB0D827" w14:textId="77777777">
            <w:pPr>
              <w:spacing w:before="0" w:after="0"/>
              <w:jc w:val="center"/>
              <w:rPr>
                <w:sz w:val="22"/>
                <w:szCs w:val="22"/>
              </w:rPr>
            </w:pPr>
            <w:r w:rsidRPr="007E54DC">
              <w:rPr>
                <w:sz w:val="22"/>
                <w:szCs w:val="22"/>
              </w:rPr>
              <w:t>Y</w:t>
            </w:r>
          </w:p>
        </w:tc>
      </w:tr>
      <w:tr w:rsidRPr="007E54DC" w:rsidR="006E055F" w:rsidTr="23A59346" w14:paraId="2867E3E8" w14:textId="77777777">
        <w:trPr>
          <w:trHeight w:val="262"/>
          <w:jc w:val="center"/>
        </w:trPr>
        <w:tc>
          <w:tcPr>
            <w:tcW w:w="3077" w:type="dxa"/>
          </w:tcPr>
          <w:p w:rsidRPr="007E54DC" w:rsidR="006E055F" w:rsidP="002B200D" w:rsidRDefault="006E055F" w14:paraId="24AE9132" w14:textId="77777777">
            <w:pPr>
              <w:spacing w:before="0" w:after="0"/>
              <w:rPr>
                <w:sz w:val="22"/>
                <w:szCs w:val="22"/>
              </w:rPr>
            </w:pPr>
            <w:r w:rsidRPr="007E54DC">
              <w:rPr>
                <w:sz w:val="22"/>
                <w:szCs w:val="22"/>
              </w:rPr>
              <w:t>Kenya Tanzania</w:t>
            </w:r>
          </w:p>
        </w:tc>
        <w:tc>
          <w:tcPr>
            <w:tcW w:w="2384" w:type="dxa"/>
            <w:shd w:val="clear" w:color="auto" w:fill="FF9999"/>
          </w:tcPr>
          <w:p w:rsidRPr="007E54DC" w:rsidR="006E055F" w:rsidP="004C1482" w:rsidRDefault="006E055F" w14:paraId="5804FC9C" w14:textId="77777777">
            <w:pPr>
              <w:spacing w:before="0" w:after="0"/>
              <w:jc w:val="center"/>
              <w:rPr>
                <w:sz w:val="22"/>
                <w:szCs w:val="22"/>
              </w:rPr>
            </w:pPr>
            <w:r w:rsidRPr="007E54DC">
              <w:rPr>
                <w:sz w:val="22"/>
                <w:szCs w:val="22"/>
              </w:rPr>
              <w:t>N</w:t>
            </w:r>
          </w:p>
        </w:tc>
        <w:tc>
          <w:tcPr>
            <w:tcW w:w="2294" w:type="dxa"/>
            <w:shd w:val="clear" w:color="auto" w:fill="C5E0B3" w:themeFill="accent6" w:themeFillTint="66"/>
          </w:tcPr>
          <w:p w:rsidRPr="007E54DC" w:rsidR="006E055F" w:rsidP="004C1482" w:rsidRDefault="006E055F" w14:paraId="525BD785" w14:textId="77777777">
            <w:pPr>
              <w:spacing w:before="0" w:after="0"/>
              <w:jc w:val="center"/>
              <w:rPr>
                <w:sz w:val="22"/>
                <w:szCs w:val="22"/>
              </w:rPr>
            </w:pPr>
            <w:r w:rsidRPr="007E54DC">
              <w:rPr>
                <w:sz w:val="22"/>
                <w:szCs w:val="22"/>
              </w:rPr>
              <w:t>Y</w:t>
            </w:r>
          </w:p>
        </w:tc>
      </w:tr>
      <w:tr w:rsidRPr="007E54DC" w:rsidR="006E055F" w:rsidTr="23A59346" w14:paraId="64D2440B" w14:textId="77777777">
        <w:trPr>
          <w:trHeight w:val="279"/>
          <w:jc w:val="center"/>
        </w:trPr>
        <w:tc>
          <w:tcPr>
            <w:tcW w:w="3077" w:type="dxa"/>
          </w:tcPr>
          <w:p w:rsidRPr="007E54DC" w:rsidR="006E055F" w:rsidP="002B200D" w:rsidRDefault="006E055F" w14:paraId="349F05E9" w14:textId="77777777">
            <w:pPr>
              <w:spacing w:before="0" w:after="0"/>
              <w:rPr>
                <w:sz w:val="22"/>
                <w:szCs w:val="22"/>
              </w:rPr>
            </w:pPr>
            <w:r w:rsidRPr="007E54DC">
              <w:rPr>
                <w:sz w:val="22"/>
                <w:szCs w:val="22"/>
              </w:rPr>
              <w:t>Indonesia #1</w:t>
            </w:r>
          </w:p>
        </w:tc>
        <w:tc>
          <w:tcPr>
            <w:tcW w:w="2384" w:type="dxa"/>
            <w:shd w:val="clear" w:color="auto" w:fill="FF9999"/>
          </w:tcPr>
          <w:p w:rsidRPr="007E54DC" w:rsidR="006E055F" w:rsidP="004C1482" w:rsidRDefault="006E055F" w14:paraId="53B29230" w14:textId="77777777">
            <w:pPr>
              <w:spacing w:before="0" w:after="0"/>
              <w:jc w:val="center"/>
              <w:rPr>
                <w:sz w:val="22"/>
                <w:szCs w:val="22"/>
              </w:rPr>
            </w:pPr>
            <w:r w:rsidRPr="007E54DC">
              <w:rPr>
                <w:sz w:val="22"/>
                <w:szCs w:val="22"/>
              </w:rPr>
              <w:t>N</w:t>
            </w:r>
          </w:p>
        </w:tc>
        <w:tc>
          <w:tcPr>
            <w:tcW w:w="2294" w:type="dxa"/>
            <w:shd w:val="clear" w:color="auto" w:fill="C5E0B3" w:themeFill="accent6" w:themeFillTint="66"/>
          </w:tcPr>
          <w:p w:rsidRPr="007E54DC" w:rsidR="006E055F" w:rsidP="004C1482" w:rsidRDefault="006E055F" w14:paraId="049F0D6A" w14:textId="77777777">
            <w:pPr>
              <w:spacing w:before="0" w:after="0"/>
              <w:jc w:val="center"/>
              <w:rPr>
                <w:sz w:val="22"/>
                <w:szCs w:val="22"/>
              </w:rPr>
            </w:pPr>
            <w:r w:rsidRPr="007E54DC">
              <w:rPr>
                <w:sz w:val="22"/>
                <w:szCs w:val="22"/>
              </w:rPr>
              <w:t>Y</w:t>
            </w:r>
          </w:p>
        </w:tc>
      </w:tr>
      <w:tr w:rsidRPr="007E54DC" w:rsidR="006E055F" w:rsidTr="23A59346" w14:paraId="43963A6E" w14:textId="77777777">
        <w:trPr>
          <w:trHeight w:val="60"/>
          <w:jc w:val="center"/>
        </w:trPr>
        <w:tc>
          <w:tcPr>
            <w:tcW w:w="3077" w:type="dxa"/>
          </w:tcPr>
          <w:p w:rsidRPr="007E54DC" w:rsidR="006E055F" w:rsidP="002B200D" w:rsidRDefault="006E055F" w14:paraId="71893E19" w14:textId="77777777">
            <w:pPr>
              <w:spacing w:before="0" w:after="0"/>
              <w:rPr>
                <w:sz w:val="22"/>
                <w:szCs w:val="22"/>
              </w:rPr>
            </w:pPr>
            <w:r w:rsidRPr="007E54DC">
              <w:rPr>
                <w:sz w:val="22"/>
                <w:szCs w:val="22"/>
              </w:rPr>
              <w:t>Mesoamerican Reef (MAR+)</w:t>
            </w:r>
          </w:p>
        </w:tc>
        <w:tc>
          <w:tcPr>
            <w:tcW w:w="2384" w:type="dxa"/>
            <w:shd w:val="clear" w:color="auto" w:fill="FF9999"/>
          </w:tcPr>
          <w:p w:rsidRPr="007E54DC" w:rsidR="006E055F" w:rsidP="004C1482" w:rsidRDefault="006E055F" w14:paraId="392038B2" w14:textId="77777777">
            <w:pPr>
              <w:spacing w:before="0" w:after="0"/>
              <w:jc w:val="center"/>
              <w:rPr>
                <w:sz w:val="22"/>
                <w:szCs w:val="22"/>
              </w:rPr>
            </w:pPr>
            <w:r w:rsidRPr="007E54DC">
              <w:rPr>
                <w:sz w:val="22"/>
                <w:szCs w:val="22"/>
              </w:rPr>
              <w:t>N</w:t>
            </w:r>
          </w:p>
        </w:tc>
        <w:tc>
          <w:tcPr>
            <w:tcW w:w="2294" w:type="dxa"/>
            <w:shd w:val="clear" w:color="auto" w:fill="C5E0B3" w:themeFill="accent6" w:themeFillTint="66"/>
          </w:tcPr>
          <w:p w:rsidRPr="007E54DC" w:rsidR="006E055F" w:rsidP="00EE1CBB" w:rsidRDefault="006E055F" w14:paraId="242BE8FF" w14:textId="77777777">
            <w:pPr>
              <w:keepNext/>
              <w:spacing w:before="0" w:after="0"/>
              <w:jc w:val="center"/>
              <w:rPr>
                <w:sz w:val="22"/>
                <w:szCs w:val="22"/>
              </w:rPr>
            </w:pPr>
            <w:r w:rsidRPr="007E54DC">
              <w:rPr>
                <w:sz w:val="22"/>
                <w:szCs w:val="22"/>
              </w:rPr>
              <w:t>Y</w:t>
            </w:r>
          </w:p>
        </w:tc>
      </w:tr>
    </w:tbl>
    <w:p w:rsidRPr="007E54DC" w:rsidR="00EE1CBB" w:rsidRDefault="00EE1CBB" w14:paraId="6C7F8D43" w14:textId="16513EC0">
      <w:pPr>
        <w:pStyle w:val="Caption"/>
      </w:pPr>
      <w:bookmarkStart w:name="_Toc132104919" w:id="57"/>
      <w:r w:rsidRPr="007E54DC">
        <w:t xml:space="preserve">Table </w:t>
      </w:r>
      <w:r w:rsidRPr="007E54DC">
        <w:fldChar w:fldCharType="begin"/>
      </w:r>
      <w:r w:rsidRPr="007E54DC">
        <w:instrText>SEQ Table \* ARABIC</w:instrText>
      </w:r>
      <w:r w:rsidRPr="007E54DC">
        <w:fldChar w:fldCharType="separate"/>
      </w:r>
      <w:r w:rsidR="00B9356F">
        <w:rPr>
          <w:noProof/>
        </w:rPr>
        <w:t>9</w:t>
      </w:r>
      <w:r w:rsidRPr="007E54DC">
        <w:fldChar w:fldCharType="end"/>
      </w:r>
      <w:r w:rsidRPr="007E54DC">
        <w:rPr>
          <w:noProof/>
        </w:rPr>
        <w:t xml:space="preserve"> - GFCR Approved Projects and Appraisal Status</w:t>
      </w:r>
      <w:bookmarkEnd w:id="57"/>
    </w:p>
    <w:p w:rsidRPr="007E54DC" w:rsidR="00F60C65" w:rsidP="006E055F" w:rsidRDefault="006E055F" w14:paraId="7ADFDBB2" w14:textId="06A256AB">
      <w:r w:rsidRPr="007E54DC">
        <w:t>The core methodology and assumptions remain consistent with the original business case. However, the appraisal has been updated and refined to account for new data and impact information. Seagrass and employment impacts have been estimated and carbon savings updated to apply the government’s latest carbon values.</w:t>
      </w:r>
    </w:p>
    <w:p w:rsidRPr="007E54DC" w:rsidR="004C53C8" w:rsidP="0022760D" w:rsidRDefault="00383C21" w14:paraId="34AC8DDC" w14:textId="78A910F2" w14:noSpellErr="1">
      <w:pPr>
        <w:pStyle w:val="Heading2"/>
        <w:rPr/>
      </w:pPr>
      <w:bookmarkStart w:name="_Toc1385328438" w:id="298185760"/>
      <w:r w:rsidR="00383C21">
        <w:rPr/>
        <w:t xml:space="preserve">Section 4.3: </w:t>
      </w:r>
      <w:r w:rsidR="004C53C8">
        <w:rPr/>
        <w:t>Financial Case</w:t>
      </w:r>
      <w:bookmarkEnd w:id="298185760"/>
    </w:p>
    <w:p w:rsidRPr="007E54DC" w:rsidR="00612E49" w:rsidP="24F5A62B" w:rsidRDefault="72E5E48E" w14:paraId="5650B51F" w14:textId="61402808">
      <w:pPr>
        <w:spacing w:after="160"/>
        <w:rPr>
          <w:rFonts w:ascii="Calibri" w:hAnsi="Calibri" w:eastAsia="Calibri" w:cs="Calibri"/>
        </w:rPr>
      </w:pPr>
      <w:r w:rsidRPr="007E54DC">
        <w:rPr>
          <w:b/>
          <w:bCs/>
        </w:rPr>
        <w:t xml:space="preserve">As a multi-year </w:t>
      </w:r>
      <w:r w:rsidRPr="007E54DC" w:rsidR="2FA9E653">
        <w:rPr>
          <w:b/>
          <w:bCs/>
        </w:rPr>
        <w:t>addendum,</w:t>
      </w:r>
      <w:r w:rsidRPr="007E54DC">
        <w:rPr>
          <w:b/>
          <w:bCs/>
        </w:rPr>
        <w:t xml:space="preserve"> the only change to the financial case is to ensure year on year payments are made to </w:t>
      </w:r>
      <w:r w:rsidRPr="007E54DC" w:rsidR="5A444751">
        <w:rPr>
          <w:b/>
          <w:bCs/>
        </w:rPr>
        <w:t xml:space="preserve">match </w:t>
      </w:r>
      <w:r w:rsidRPr="007E54DC" w:rsidR="00083D11">
        <w:rPr>
          <w:b/>
          <w:bCs/>
        </w:rPr>
        <w:t xml:space="preserve">ongoing demand </w:t>
      </w:r>
      <w:r w:rsidRPr="007E54DC">
        <w:rPr>
          <w:b/>
          <w:bCs/>
        </w:rPr>
        <w:t>and reflect our annual assessment of performance</w:t>
      </w:r>
      <w:r w:rsidRPr="007E54DC" w:rsidR="00083D11">
        <w:rPr>
          <w:b/>
          <w:bCs/>
        </w:rPr>
        <w:t xml:space="preserve"> through Annual Reviews</w:t>
      </w:r>
      <w:r w:rsidRPr="007E54DC" w:rsidR="00083D11">
        <w:t>.</w:t>
      </w:r>
      <w:r w:rsidRPr="007E54DC" w:rsidR="588A212C">
        <w:t xml:space="preserve"> </w:t>
      </w:r>
      <w:r w:rsidRPr="007E54DC" w:rsidR="00083D11">
        <w:t>All p</w:t>
      </w:r>
      <w:r w:rsidRPr="007E54DC" w:rsidR="588A212C">
        <w:t>revious GFCR contribution payments have been single-year due to the nature of Spending Review processes.</w:t>
      </w:r>
      <w:r w:rsidRPr="007E54DC" w:rsidR="5A444751">
        <w:t xml:space="preserve"> </w:t>
      </w:r>
    </w:p>
    <w:p w:rsidRPr="007E54DC" w:rsidR="249CD31F" w:rsidP="24F5A62B" w:rsidRDefault="72310A03" w14:paraId="3A0B6941" w14:textId="74541DE6">
      <w:pPr>
        <w:spacing w:after="160"/>
        <w:rPr>
          <w:color w:val="000000" w:themeColor="text1"/>
        </w:rPr>
      </w:pPr>
      <w:r w:rsidRPr="007E54DC">
        <w:rPr>
          <w:rFonts w:eastAsiaTheme="minorEastAsia"/>
          <w:color w:val="000000" w:themeColor="text1"/>
        </w:rPr>
        <w:t>Defra's £310m allocation f</w:t>
      </w:r>
      <w:r w:rsidRPr="007E54DC">
        <w:rPr>
          <w:color w:val="000000" w:themeColor="text1"/>
        </w:rPr>
        <w:t xml:space="preserve">or the </w:t>
      </w:r>
      <w:r w:rsidRPr="007E54DC" w:rsidR="5AA3C73B">
        <w:rPr>
          <w:color w:val="000000" w:themeColor="text1"/>
        </w:rPr>
        <w:t>5-year</w:t>
      </w:r>
      <w:r w:rsidRPr="007E54DC">
        <w:rPr>
          <w:color w:val="000000" w:themeColor="text1"/>
        </w:rPr>
        <w:t xml:space="preserve"> lifetime of the BPF (1 + 3 + 1 years) is allocated and now in pipeline or pre-pipeline stage. Although this allows for some flex, it includes these three years of </w:t>
      </w:r>
      <w:r w:rsidRPr="007E54DC" w:rsidR="5665ADCA">
        <w:rPr>
          <w:color w:val="000000" w:themeColor="text1"/>
        </w:rPr>
        <w:t xml:space="preserve">uplifted </w:t>
      </w:r>
      <w:r w:rsidRPr="007E54DC">
        <w:rPr>
          <w:color w:val="000000" w:themeColor="text1"/>
        </w:rPr>
        <w:t>allocation to the GFCR. The decisions over allocations of BPF funding over this multi-year period are taken at the portfolio level based on seeking balanced delivery across all four Defra BPF outcomes</w:t>
      </w:r>
      <w:r w:rsidRPr="007E54DC" w:rsidR="249CD31F">
        <w:rPr>
          <w:rStyle w:val="FootnoteReference"/>
          <w:color w:val="000000" w:themeColor="text1"/>
        </w:rPr>
        <w:footnoteReference w:id="25"/>
      </w:r>
      <w:r w:rsidRPr="007E54DC">
        <w:rPr>
          <w:color w:val="000000" w:themeColor="text1"/>
        </w:rPr>
        <w:t xml:space="preserve">. Our contribution to the GFCR, including through this uplift is part of a suite of projects that work together to deliver under this outcome. There is no need to “bid” for funding from the BPF (either year on year or across multiple years, as this “up to £24m” has been allocated as part of these strategic discussions for the BPF and sits within </w:t>
      </w:r>
      <w:r w:rsidRPr="007E54DC" w:rsidR="5665ADCA">
        <w:rPr>
          <w:color w:val="000000" w:themeColor="text1"/>
        </w:rPr>
        <w:t xml:space="preserve">this </w:t>
      </w:r>
      <w:r w:rsidRPr="007E54DC">
        <w:rPr>
          <w:color w:val="000000" w:themeColor="text1"/>
        </w:rPr>
        <w:t>Spending Review (SR</w:t>
      </w:r>
      <w:r w:rsidRPr="007E54DC" w:rsidR="5665ADCA">
        <w:rPr>
          <w:color w:val="000000" w:themeColor="text1"/>
        </w:rPr>
        <w:t>21</w:t>
      </w:r>
      <w:r w:rsidRPr="007E54DC">
        <w:rPr>
          <w:color w:val="000000" w:themeColor="text1"/>
        </w:rPr>
        <w:t>) so there is no question regarding the affordability of the intervention.</w:t>
      </w:r>
    </w:p>
    <w:p w:rsidRPr="007E54DC" w:rsidR="74C5D923" w:rsidP="24F5A62B" w:rsidRDefault="74C5D923" w14:paraId="1E382240" w14:textId="31E50A26">
      <w:pPr>
        <w:spacing w:after="160"/>
        <w:rPr>
          <w:rFonts w:ascii="Calibri" w:hAnsi="Calibri" w:eastAsia="Calibri" w:cs="Calibri"/>
        </w:rPr>
      </w:pPr>
      <w:r w:rsidRPr="007E54DC">
        <w:t xml:space="preserve">As discussed, these payments will be synchronised with the Annual Review process and funds </w:t>
      </w:r>
      <w:r w:rsidRPr="007E54DC">
        <w:rPr>
          <w:rFonts w:ascii="Calibri" w:hAnsi="Calibri" w:eastAsia="Calibri" w:cs="Calibri"/>
        </w:rPr>
        <w:t xml:space="preserve">will not be approved until the Annual Review for the previous year has been concluded. The outcome of the Annual Review must provide evidence of strong overall project performance (at least an A) and ongoing </w:t>
      </w:r>
      <w:proofErr w:type="spellStart"/>
      <w:r w:rsidRPr="007E54DC">
        <w:rPr>
          <w:rFonts w:ascii="Calibri" w:hAnsi="Calibri" w:eastAsia="Calibri" w:cs="Calibri"/>
        </w:rPr>
        <w:t>VfM</w:t>
      </w:r>
      <w:proofErr w:type="spellEnd"/>
      <w:r w:rsidRPr="007E54DC">
        <w:rPr>
          <w:rFonts w:ascii="Calibri" w:hAnsi="Calibri" w:eastAsia="Calibri" w:cs="Calibri"/>
        </w:rPr>
        <w:t>.</w:t>
      </w:r>
    </w:p>
    <w:p w:rsidRPr="007E54DC" w:rsidR="000D11F4" w:rsidP="00F12462" w:rsidRDefault="2A1F1CF1" w14:paraId="45947096" w14:textId="240A36E1">
      <w:pPr>
        <w:spacing w:after="160"/>
      </w:pPr>
      <w:r w:rsidRPr="007E54DC">
        <w:rPr>
          <w:rFonts w:ascii="Calibri" w:hAnsi="Calibri" w:cs="Calibri"/>
          <w:color w:val="000000" w:themeColor="text1"/>
        </w:rPr>
        <w:t>Financial payments</w:t>
      </w:r>
      <w:r w:rsidRPr="007E54DC" w:rsidR="5559B52A">
        <w:rPr>
          <w:rFonts w:ascii="Calibri" w:hAnsi="Calibri" w:cs="Calibri"/>
          <w:color w:val="000000" w:themeColor="text1"/>
        </w:rPr>
        <w:t>, via a contribution (see Section 4.4 Commercial Case</w:t>
      </w:r>
      <w:r w:rsidRPr="007E54DC" w:rsidR="5665ADCA">
        <w:rPr>
          <w:rFonts w:ascii="Calibri" w:hAnsi="Calibri" w:cs="Calibri"/>
          <w:color w:val="000000" w:themeColor="text1"/>
        </w:rPr>
        <w:t>)</w:t>
      </w:r>
      <w:r w:rsidRPr="007E54DC">
        <w:rPr>
          <w:rFonts w:ascii="Calibri" w:hAnsi="Calibri" w:cs="Calibri"/>
          <w:color w:val="000000" w:themeColor="text1"/>
        </w:rPr>
        <w:t xml:space="preserve"> will be paid each calendar year and in some cases in advance of the activities commencing</w:t>
      </w:r>
      <w:r w:rsidRPr="007E54DC" w:rsidR="1526CF47">
        <w:rPr>
          <w:rFonts w:ascii="Calibri" w:hAnsi="Calibri" w:cs="Calibri"/>
          <w:color w:val="000000" w:themeColor="text1"/>
        </w:rPr>
        <w:t xml:space="preserve">; </w:t>
      </w:r>
      <w:r w:rsidRPr="007E54DC">
        <w:rPr>
          <w:rFonts w:ascii="Calibri" w:hAnsi="Calibri" w:cs="Calibri"/>
          <w:color w:val="000000" w:themeColor="text1"/>
        </w:rPr>
        <w:t xml:space="preserve">advance </w:t>
      </w:r>
      <w:r w:rsidRPr="007E54DC" w:rsidR="5665ADCA">
        <w:rPr>
          <w:rFonts w:ascii="Calibri" w:hAnsi="Calibri" w:cs="Calibri"/>
          <w:color w:val="000000" w:themeColor="text1"/>
        </w:rPr>
        <w:t xml:space="preserve">payment </w:t>
      </w:r>
      <w:r w:rsidRPr="007E54DC">
        <w:rPr>
          <w:rFonts w:ascii="Calibri" w:hAnsi="Calibri" w:cs="Calibri"/>
          <w:color w:val="000000" w:themeColor="text1"/>
        </w:rPr>
        <w:t>has HMT approval for this project</w:t>
      </w:r>
      <w:r w:rsidRPr="007E54DC" w:rsidR="00082768">
        <w:rPr>
          <w:rStyle w:val="FootnoteReference"/>
          <w:rFonts w:ascii="Calibri" w:hAnsi="Calibri" w:cs="Calibri"/>
          <w:color w:val="000000" w:themeColor="text1"/>
        </w:rPr>
        <w:footnoteReference w:id="26"/>
      </w:r>
      <w:r w:rsidRPr="007E54DC">
        <w:rPr>
          <w:rFonts w:ascii="Calibri" w:hAnsi="Calibri" w:cs="Calibri"/>
          <w:color w:val="000000" w:themeColor="text1"/>
        </w:rPr>
        <w:t xml:space="preserve">. Payments will be made directly into the UNDP MPTF Office account. </w:t>
      </w:r>
      <w:r w:rsidRPr="007E54DC" w:rsidR="5A6B4673">
        <w:rPr>
          <w:rFonts w:ascii="Calibri" w:hAnsi="Calibri" w:cs="Calibri"/>
          <w:color w:val="000000" w:themeColor="text1"/>
        </w:rPr>
        <w:t>E</w:t>
      </w:r>
      <w:r w:rsidRPr="007E54DC" w:rsidR="55D78699">
        <w:rPr>
          <w:rFonts w:ascii="Calibri" w:hAnsi="Calibri" w:eastAsia="Calibri" w:cs="Calibri"/>
        </w:rPr>
        <w:t>ach p</w:t>
      </w:r>
      <w:r w:rsidRPr="007E54DC" w:rsidR="1927945A">
        <w:rPr>
          <w:rFonts w:ascii="Calibri" w:hAnsi="Calibri" w:eastAsia="Calibri" w:cs="Calibri"/>
        </w:rPr>
        <w:t xml:space="preserve">ayment </w:t>
      </w:r>
      <w:r w:rsidRPr="007E54DC" w:rsidR="55D78699">
        <w:rPr>
          <w:rFonts w:ascii="Calibri" w:hAnsi="Calibri" w:eastAsia="Calibri" w:cs="Calibri"/>
        </w:rPr>
        <w:t xml:space="preserve">under this </w:t>
      </w:r>
      <w:r w:rsidRPr="007E54DC" w:rsidR="1927945A">
        <w:rPr>
          <w:rFonts w:ascii="Calibri" w:hAnsi="Calibri" w:eastAsia="Calibri" w:cs="Calibri"/>
        </w:rPr>
        <w:t xml:space="preserve">uplift </w:t>
      </w:r>
      <w:r w:rsidRPr="007E54DC" w:rsidR="55D78699">
        <w:rPr>
          <w:rFonts w:ascii="Calibri" w:hAnsi="Calibri" w:eastAsia="Calibri" w:cs="Calibri"/>
        </w:rPr>
        <w:t xml:space="preserve">will be scheduled around </w:t>
      </w:r>
      <w:r w:rsidRPr="007E54DC" w:rsidR="1927945A">
        <w:rPr>
          <w:rFonts w:ascii="Calibri" w:hAnsi="Calibri" w:eastAsia="Calibri" w:cs="Calibri"/>
        </w:rPr>
        <w:t xml:space="preserve">December </w:t>
      </w:r>
      <w:r w:rsidRPr="007E54DC" w:rsidR="55D78699">
        <w:rPr>
          <w:rFonts w:ascii="Calibri" w:hAnsi="Calibri" w:eastAsia="Calibri" w:cs="Calibri"/>
        </w:rPr>
        <w:t>each year</w:t>
      </w:r>
      <w:r w:rsidRPr="007E54DC" w:rsidR="78AB4590">
        <w:rPr>
          <w:rFonts w:ascii="Calibri" w:hAnsi="Calibri" w:eastAsia="Calibri" w:cs="Calibri"/>
        </w:rPr>
        <w:t>,</w:t>
      </w:r>
      <w:r w:rsidRPr="007E54DC" w:rsidR="1927945A">
        <w:rPr>
          <w:rFonts w:ascii="Calibri" w:hAnsi="Calibri" w:eastAsia="Calibri" w:cs="Calibri"/>
        </w:rPr>
        <w:t xml:space="preserve"> </w:t>
      </w:r>
      <w:r w:rsidRPr="007E54DC" w:rsidR="55D78699">
        <w:rPr>
          <w:rFonts w:ascii="Calibri" w:hAnsi="Calibri" w:eastAsia="Calibri" w:cs="Calibri"/>
        </w:rPr>
        <w:t xml:space="preserve">and </w:t>
      </w:r>
      <w:r w:rsidRPr="007E54DC" w:rsidR="1927945A">
        <w:rPr>
          <w:rFonts w:ascii="Calibri" w:hAnsi="Calibri" w:eastAsia="Calibri" w:cs="Calibri"/>
        </w:rPr>
        <w:t>A</w:t>
      </w:r>
      <w:r w:rsidRPr="007E54DC" w:rsidR="55D78699">
        <w:rPr>
          <w:rFonts w:ascii="Calibri" w:hAnsi="Calibri" w:eastAsia="Calibri" w:cs="Calibri"/>
        </w:rPr>
        <w:t>nnual Reviews</w:t>
      </w:r>
      <w:r w:rsidRPr="007E54DC" w:rsidR="1927945A">
        <w:rPr>
          <w:rFonts w:ascii="Calibri" w:hAnsi="Calibri" w:eastAsia="Calibri" w:cs="Calibri"/>
        </w:rPr>
        <w:t xml:space="preserve"> covering activities </w:t>
      </w:r>
      <w:r w:rsidRPr="007E54DC" w:rsidR="1927945A">
        <w:rPr>
          <w:rFonts w:ascii="Calibri" w:hAnsi="Calibri" w:eastAsia="Calibri" w:cs="Calibri"/>
        </w:rPr>
        <w:t>Jul</w:t>
      </w:r>
      <w:r w:rsidRPr="007E54DC" w:rsidR="371D2D06">
        <w:rPr>
          <w:rFonts w:ascii="Calibri" w:hAnsi="Calibri" w:eastAsia="Calibri" w:cs="Calibri"/>
        </w:rPr>
        <w:t>y</w:t>
      </w:r>
      <w:r w:rsidRPr="007E54DC" w:rsidR="1927945A">
        <w:rPr>
          <w:rFonts w:ascii="Calibri" w:hAnsi="Calibri" w:eastAsia="Calibri" w:cs="Calibri"/>
        </w:rPr>
        <w:t xml:space="preserve"> to Jun</w:t>
      </w:r>
      <w:r w:rsidRPr="007E54DC" w:rsidR="0A1B0AED">
        <w:rPr>
          <w:rFonts w:ascii="Calibri" w:hAnsi="Calibri" w:eastAsia="Calibri" w:cs="Calibri"/>
        </w:rPr>
        <w:t>e</w:t>
      </w:r>
      <w:r w:rsidRPr="007E54DC" w:rsidR="1927945A">
        <w:rPr>
          <w:rFonts w:ascii="Calibri" w:hAnsi="Calibri" w:eastAsia="Calibri" w:cs="Calibri"/>
        </w:rPr>
        <w:t xml:space="preserve"> </w:t>
      </w:r>
      <w:r w:rsidRPr="007E54DC" w:rsidR="55D78699">
        <w:rPr>
          <w:rFonts w:ascii="Calibri" w:hAnsi="Calibri" w:eastAsia="Calibri" w:cs="Calibri"/>
        </w:rPr>
        <w:t xml:space="preserve">will be completed and </w:t>
      </w:r>
      <w:r w:rsidRPr="007E54DC" w:rsidR="1927945A">
        <w:rPr>
          <w:rFonts w:ascii="Calibri" w:hAnsi="Calibri" w:eastAsia="Calibri" w:cs="Calibri"/>
        </w:rPr>
        <w:t>approved ahead of that</w:t>
      </w:r>
      <w:r w:rsidRPr="007E54DC" w:rsidR="55D78699">
        <w:rPr>
          <w:rFonts w:ascii="Calibri" w:hAnsi="Calibri" w:eastAsia="Calibri" w:cs="Calibri"/>
        </w:rPr>
        <w:t xml:space="preserve"> each Autumn</w:t>
      </w:r>
      <w:r w:rsidRPr="007E54DC" w:rsidR="1927945A">
        <w:rPr>
          <w:rFonts w:ascii="Calibri" w:hAnsi="Calibri" w:eastAsia="Calibri" w:cs="Calibri"/>
        </w:rPr>
        <w:t>.</w:t>
      </w:r>
      <w:r w:rsidRPr="007E54DC" w:rsidR="7E670192">
        <w:t xml:space="preserve"> </w:t>
      </w:r>
      <w:r w:rsidRPr="007E54DC" w:rsidR="717FAF76">
        <w:t>I</w:t>
      </w:r>
      <w:r w:rsidRPr="007E54DC" w:rsidR="23F82B17">
        <w:t xml:space="preserve">n the case </w:t>
      </w:r>
      <w:r w:rsidRPr="007E54DC" w:rsidR="643F0854">
        <w:t xml:space="preserve">of specific </w:t>
      </w:r>
      <w:r w:rsidRPr="007E54DC" w:rsidR="23F82B17">
        <w:t xml:space="preserve">project approval </w:t>
      </w:r>
      <w:r w:rsidRPr="007E54DC" w:rsidR="75C65019">
        <w:t>needs</w:t>
      </w:r>
      <w:r w:rsidRPr="007E54DC" w:rsidR="4166D8E3">
        <w:t>,</w:t>
      </w:r>
      <w:r w:rsidRPr="007E54DC" w:rsidR="75C65019">
        <w:t xml:space="preserve"> some </w:t>
      </w:r>
      <w:r w:rsidRPr="007E54DC" w:rsidR="4166D8E3">
        <w:t xml:space="preserve">payments </w:t>
      </w:r>
      <w:r w:rsidRPr="007E54DC" w:rsidR="23F82B17">
        <w:t>could be moved forward</w:t>
      </w:r>
      <w:r w:rsidRPr="007E54DC" w:rsidR="5665ADCA">
        <w:t xml:space="preserve"> depending on affordability.</w:t>
      </w:r>
    </w:p>
    <w:p w:rsidRPr="007E54DC" w:rsidR="28A664C1" w:rsidP="24F5A62B" w:rsidRDefault="28A664C1" w14:paraId="38FAF971" w14:textId="33FF9222">
      <w:pPr>
        <w:rPr>
          <w:rFonts w:eastAsiaTheme="minorEastAsia"/>
        </w:rPr>
      </w:pPr>
      <w:r w:rsidRPr="007E54DC">
        <w:rPr>
          <w:rFonts w:eastAsiaTheme="minorEastAsia"/>
        </w:rPr>
        <w:t xml:space="preserve">All spend will be scored to RDEL in line with Consolidated Budgeting Guidance paragraph 3.7 which states that </w:t>
      </w:r>
      <w:r w:rsidRPr="007E54DC">
        <w:rPr>
          <w:rFonts w:eastAsiaTheme="minorEastAsia"/>
          <w:i/>
          <w:iCs/>
        </w:rPr>
        <w:t xml:space="preserve">“Departments may make unrequited transfer payments to businesses or individuals for </w:t>
      </w:r>
      <w:proofErr w:type="gramStart"/>
      <w:r w:rsidRPr="007E54DC">
        <w:rPr>
          <w:rFonts w:eastAsiaTheme="minorEastAsia"/>
          <w:i/>
          <w:iCs/>
        </w:rPr>
        <w:t>a number of</w:t>
      </w:r>
      <w:proofErr w:type="gramEnd"/>
      <w:r w:rsidRPr="007E54DC">
        <w:rPr>
          <w:rFonts w:eastAsiaTheme="minorEastAsia"/>
          <w:i/>
          <w:iCs/>
        </w:rPr>
        <w:t xml:space="preserve"> reasons. These payments must be classified for budgetary purposes as either capital grants, current </w:t>
      </w:r>
      <w:r w:rsidRPr="007E54DC" w:rsidR="00136274">
        <w:rPr>
          <w:rFonts w:eastAsiaTheme="minorEastAsia"/>
          <w:i/>
          <w:iCs/>
        </w:rPr>
        <w:t>grants,</w:t>
      </w:r>
      <w:r w:rsidRPr="007E54DC">
        <w:rPr>
          <w:rFonts w:eastAsiaTheme="minorEastAsia"/>
          <w:i/>
          <w:iCs/>
        </w:rPr>
        <w:t xml:space="preserve"> or subsidies. Current grants and subsidies score in the resource budget; capital grants score in the capital budget.”</w:t>
      </w:r>
      <w:r w:rsidRPr="007E54DC">
        <w:rPr>
          <w:rFonts w:eastAsiaTheme="minorEastAsia"/>
        </w:rPr>
        <w:t xml:space="preserve"> and paragraph 3.15 which says that </w:t>
      </w:r>
      <w:r w:rsidRPr="007E54DC">
        <w:rPr>
          <w:rFonts w:eastAsiaTheme="minorEastAsia"/>
          <w:i/>
          <w:iCs/>
        </w:rPr>
        <w:t xml:space="preserve">“Where grants are paid that may be used at the recipient’s discretion either on capital or on current expenditure they should be treated as current grants.” </w:t>
      </w:r>
      <w:r w:rsidRPr="007E54DC">
        <w:rPr>
          <w:rFonts w:eastAsiaTheme="minorEastAsia"/>
        </w:rPr>
        <w:t>Defra’s contribution is classed as a current grant and score to RDEL because the end recipient (GFCR) can use it at their discretion.</w:t>
      </w:r>
    </w:p>
    <w:p w:rsidRPr="007E54DC" w:rsidR="003A0ECB" w:rsidP="23A59346" w:rsidRDefault="412FE4C3" w14:paraId="17505761" w14:textId="7567580E">
      <w:pPr>
        <w:rPr>
          <w:i/>
          <w:iCs/>
        </w:rPr>
      </w:pPr>
      <w:r w:rsidRPr="007E54DC">
        <w:t xml:space="preserve">A proportion of this project will </w:t>
      </w:r>
      <w:r w:rsidRPr="007E54DC" w:rsidR="0BCE683C">
        <w:t xml:space="preserve">continue to </w:t>
      </w:r>
      <w:r w:rsidRPr="007E54DC">
        <w:t>be accountable as International Climate Finance (ICF)</w:t>
      </w:r>
      <w:r w:rsidRPr="007E54DC" w:rsidR="16189828">
        <w:t xml:space="preserve"> for nature</w:t>
      </w:r>
      <w:r w:rsidRPr="007E54DC">
        <w:t>.</w:t>
      </w:r>
      <w:r w:rsidRPr="007E54DC" w:rsidR="314D80C3">
        <w:t xml:space="preserve"> </w:t>
      </w:r>
      <w:r w:rsidRPr="007E54DC" w:rsidR="314D80C3">
        <w:rPr>
          <w:rFonts w:ascii="Calibri" w:hAnsi="Calibri" w:cs="Calibri"/>
          <w:color w:val="000000" w:themeColor="text1"/>
        </w:rPr>
        <w:t>International Climate Finance is a UK government commitment to support developing countries to respond to the challenges and opportunities of climate change.</w:t>
      </w:r>
      <w:r w:rsidRPr="007E54DC" w:rsidR="62D1DD97">
        <w:rPr>
          <w:rFonts w:ascii="Calibri" w:hAnsi="Calibri" w:cs="Calibri"/>
          <w:color w:val="000000" w:themeColor="text1"/>
        </w:rPr>
        <w:t xml:space="preserve"> </w:t>
      </w:r>
      <w:r w:rsidRPr="007E54DC" w:rsidR="33450D3E">
        <w:rPr>
          <w:rFonts w:ascii="Calibri" w:hAnsi="Calibri" w:cs="Calibri"/>
          <w:color w:val="000000" w:themeColor="text1"/>
        </w:rPr>
        <w:t>To</w:t>
      </w:r>
      <w:r w:rsidRPr="007E54DC" w:rsidR="031FF6B1">
        <w:rPr>
          <w:rFonts w:ascii="Calibri" w:hAnsi="Calibri" w:cs="Calibri"/>
          <w:color w:val="000000" w:themeColor="text1"/>
        </w:rPr>
        <w:t xml:space="preserve"> </w:t>
      </w:r>
      <w:r w:rsidRPr="007E54DC" w:rsidR="62D1DD97">
        <w:rPr>
          <w:rFonts w:ascii="Calibri" w:hAnsi="Calibri" w:cs="Calibri"/>
          <w:color w:val="000000" w:themeColor="text1"/>
        </w:rPr>
        <w:t>meet government target</w:t>
      </w:r>
      <w:r w:rsidRPr="007E54DC" w:rsidR="031FF6B1">
        <w:rPr>
          <w:rFonts w:ascii="Calibri" w:hAnsi="Calibri" w:cs="Calibri"/>
          <w:color w:val="000000" w:themeColor="text1"/>
        </w:rPr>
        <w:t>s</w:t>
      </w:r>
      <w:r w:rsidRPr="007E54DC" w:rsidR="62D1DD97">
        <w:rPr>
          <w:rFonts w:ascii="Calibri" w:hAnsi="Calibri" w:cs="Calibri"/>
          <w:color w:val="000000" w:themeColor="text1"/>
        </w:rPr>
        <w:t xml:space="preserve"> of spending £3bn ICF </w:t>
      </w:r>
      <w:r w:rsidRPr="007E54DC" w:rsidR="0BCE683C">
        <w:rPr>
          <w:rFonts w:ascii="Calibri" w:hAnsi="Calibri" w:cs="Calibri"/>
          <w:color w:val="000000" w:themeColor="text1"/>
        </w:rPr>
        <w:t xml:space="preserve">on solutions that protect and restore nature </w:t>
      </w:r>
      <w:r w:rsidRPr="007E54DC" w:rsidR="62D1DD97">
        <w:rPr>
          <w:rFonts w:ascii="Calibri" w:hAnsi="Calibri" w:cs="Calibri"/>
          <w:color w:val="000000" w:themeColor="text1"/>
        </w:rPr>
        <w:t xml:space="preserve">in the next </w:t>
      </w:r>
      <w:r w:rsidRPr="007E54DC" w:rsidR="0BCE683C">
        <w:rPr>
          <w:rFonts w:ascii="Calibri" w:hAnsi="Calibri" w:cs="Calibri"/>
          <w:color w:val="000000" w:themeColor="text1"/>
        </w:rPr>
        <w:t xml:space="preserve">five </w:t>
      </w:r>
      <w:r w:rsidRPr="007E54DC" w:rsidR="62D1DD97">
        <w:rPr>
          <w:rFonts w:ascii="Calibri" w:hAnsi="Calibri" w:cs="Calibri"/>
          <w:color w:val="000000" w:themeColor="text1"/>
        </w:rPr>
        <w:t>years,</w:t>
      </w:r>
      <w:r w:rsidRPr="007E54DC" w:rsidR="031FF6B1">
        <w:rPr>
          <w:rFonts w:ascii="Calibri" w:hAnsi="Calibri" w:cs="Calibri"/>
          <w:color w:val="000000" w:themeColor="text1"/>
        </w:rPr>
        <w:t xml:space="preserve"> Defra must allocate, track and report ICF spend to FCDO.</w:t>
      </w:r>
      <w:r w:rsidRPr="007E54DC">
        <w:t xml:space="preserve"> Climate change will be a cross cutting theme throughout the GFCR, </w:t>
      </w:r>
      <w:r w:rsidRPr="007E54DC" w:rsidR="0BCE683C">
        <w:t>particularly adaptation</w:t>
      </w:r>
      <w:r w:rsidRPr="007E54DC">
        <w:t xml:space="preserve">, and climate change </w:t>
      </w:r>
      <w:r w:rsidRPr="007E54DC" w:rsidR="0BCE683C">
        <w:t xml:space="preserve">benefits </w:t>
      </w:r>
      <w:r w:rsidRPr="007E54DC">
        <w:t>will be reported on within the Fund’s Key Performance Indicator (KPI) framework</w:t>
      </w:r>
      <w:r w:rsidRPr="007E54DC" w:rsidR="0BFE2A24">
        <w:t xml:space="preserve"> </w:t>
      </w:r>
      <w:r w:rsidRPr="007E54DC" w:rsidR="0BCE683C">
        <w:t xml:space="preserve">and under </w:t>
      </w:r>
      <w:r w:rsidRPr="007E54DC" w:rsidR="5E21ABC2">
        <w:t>the</w:t>
      </w:r>
      <w:r w:rsidRPr="007E54DC" w:rsidR="5E21ABC2">
        <w:rPr>
          <w:i/>
          <w:iCs/>
        </w:rPr>
        <w:t xml:space="preserve"> </w:t>
      </w:r>
      <w:r w:rsidRPr="007E54DC" w:rsidR="5E21ABC2">
        <w:t>BPF Key Performance Indicators</w:t>
      </w:r>
      <w:r w:rsidRPr="007E54DC">
        <w:t>.</w:t>
      </w:r>
    </w:p>
    <w:p w:rsidRPr="007E54DC" w:rsidR="009069BC" w:rsidP="68054C4F" w:rsidRDefault="72C99078" w14:paraId="51C95EC1" w14:textId="254C78E2">
      <w:r w:rsidRPr="007E54DC">
        <w:t>The</w:t>
      </w:r>
      <w:r w:rsidRPr="007E54DC" w:rsidR="428F59EC">
        <w:t xml:space="preserve"> </w:t>
      </w:r>
      <w:r w:rsidRPr="007E54DC" w:rsidR="0C1A838B">
        <w:t xml:space="preserve">original business case </w:t>
      </w:r>
      <w:r w:rsidRPr="007E54DC">
        <w:t xml:space="preserve">estimated </w:t>
      </w:r>
      <w:r w:rsidRPr="007E54DC" w:rsidR="0C1A838B">
        <w:t xml:space="preserve">the </w:t>
      </w:r>
      <w:r w:rsidRPr="007E54DC">
        <w:t xml:space="preserve">percentage of ICF in </w:t>
      </w:r>
      <w:r w:rsidRPr="007E54DC" w:rsidR="0C1A838B">
        <w:t xml:space="preserve">the GFCR as </w:t>
      </w:r>
      <w:r w:rsidRPr="007E54DC" w:rsidR="035E0946">
        <w:t>30%</w:t>
      </w:r>
      <w:r w:rsidRPr="007E54DC" w:rsidR="1A53A4C6">
        <w:t>, however following a reassessment in line wit</w:t>
      </w:r>
      <w:r w:rsidRPr="007E54DC" w:rsidR="1A53A4C6">
        <w:rPr>
          <w:rFonts w:eastAsiaTheme="minorEastAsia"/>
        </w:rPr>
        <w:t xml:space="preserve">h </w:t>
      </w:r>
      <w:r w:rsidRPr="007E54DC" w:rsidR="1A53A4C6">
        <w:rPr>
          <w:rFonts w:eastAsiaTheme="minorEastAsia"/>
          <w:color w:val="000000" w:themeColor="text1"/>
        </w:rPr>
        <w:t xml:space="preserve">the </w:t>
      </w:r>
      <w:r w:rsidRPr="007E54DC" w:rsidR="77E56B82">
        <w:rPr>
          <w:rFonts w:eastAsiaTheme="minorEastAsia"/>
          <w:color w:val="000000" w:themeColor="text1"/>
        </w:rPr>
        <w:t xml:space="preserve">Organization for Economic Cooperation and Development </w:t>
      </w:r>
      <w:r w:rsidRPr="007E54DC" w:rsidR="6E9F1164">
        <w:rPr>
          <w:rFonts w:eastAsiaTheme="minorEastAsia"/>
          <w:color w:val="000000" w:themeColor="text1"/>
        </w:rPr>
        <w:t>(</w:t>
      </w:r>
      <w:r w:rsidRPr="007E54DC" w:rsidR="1A53A4C6">
        <w:rPr>
          <w:rFonts w:eastAsiaTheme="minorEastAsia"/>
          <w:color w:val="000000" w:themeColor="text1"/>
        </w:rPr>
        <w:t>OECD</w:t>
      </w:r>
      <w:r w:rsidRPr="007E54DC" w:rsidR="1EF1B043">
        <w:rPr>
          <w:rFonts w:eastAsiaTheme="minorEastAsia"/>
          <w:color w:val="000000" w:themeColor="text1"/>
        </w:rPr>
        <w:t>)</w:t>
      </w:r>
      <w:r w:rsidRPr="007E54DC" w:rsidR="1A53A4C6">
        <w:rPr>
          <w:rFonts w:eastAsiaTheme="minorEastAsia"/>
          <w:color w:val="000000" w:themeColor="text1"/>
        </w:rPr>
        <w:t xml:space="preserve"> Rio Markers for climate change</w:t>
      </w:r>
      <w:r w:rsidRPr="007E54DC" w:rsidR="00083D11">
        <w:rPr>
          <w:rFonts w:eastAsiaTheme="minorEastAsia"/>
          <w:color w:val="000000" w:themeColor="text1"/>
        </w:rPr>
        <w:t xml:space="preserve"> guidance</w:t>
      </w:r>
      <w:r w:rsidRPr="007E54DC" w:rsidR="1A53A4C6">
        <w:rPr>
          <w:rFonts w:eastAsiaTheme="minorEastAsia"/>
          <w:color w:val="000000" w:themeColor="text1"/>
        </w:rPr>
        <w:t xml:space="preserve">, we deem GFCR to be accountable as </w:t>
      </w:r>
      <w:r w:rsidRPr="007E54DC" w:rsidR="006E06E8">
        <w:rPr>
          <w:rFonts w:eastAsiaTheme="minorEastAsia"/>
          <w:color w:val="000000" w:themeColor="text1"/>
        </w:rPr>
        <w:t>100</w:t>
      </w:r>
      <w:r w:rsidRPr="007E54DC" w:rsidR="1A53A4C6">
        <w:rPr>
          <w:rFonts w:eastAsiaTheme="minorEastAsia"/>
          <w:color w:val="000000" w:themeColor="text1"/>
        </w:rPr>
        <w:t>%</w:t>
      </w:r>
      <w:r w:rsidRPr="007E54DC" w:rsidR="00083D11">
        <w:rPr>
          <w:rFonts w:eastAsiaTheme="minorEastAsia"/>
          <w:color w:val="000000" w:themeColor="text1"/>
        </w:rPr>
        <w:t xml:space="preserve"> ICF</w:t>
      </w:r>
      <w:r w:rsidRPr="007E54DC" w:rsidR="05316286">
        <w:rPr>
          <w:rFonts w:eastAsiaTheme="minorEastAsia"/>
          <w:color w:val="000000" w:themeColor="text1"/>
        </w:rPr>
        <w:t>.</w:t>
      </w:r>
      <w:r w:rsidRPr="007E54DC" w:rsidR="00083D11">
        <w:rPr>
          <w:rFonts w:eastAsiaTheme="minorEastAsia"/>
          <w:color w:val="000000" w:themeColor="text1"/>
        </w:rPr>
        <w:t xml:space="preserve"> </w:t>
      </w:r>
      <w:r w:rsidRPr="007E54DC" w:rsidR="0ED1622E">
        <w:t>We</w:t>
      </w:r>
      <w:r w:rsidRPr="007E54DC" w:rsidR="0C1A838B">
        <w:t xml:space="preserve"> </w:t>
      </w:r>
      <w:r w:rsidRPr="007E54DC">
        <w:t xml:space="preserve">will </w:t>
      </w:r>
      <w:r w:rsidRPr="007E54DC" w:rsidR="0C1A838B">
        <w:t>keep this open to</w:t>
      </w:r>
      <w:r w:rsidRPr="007E54DC">
        <w:t xml:space="preserve"> be reassessed throughout the lifetime of the pro</w:t>
      </w:r>
      <w:r w:rsidRPr="007E54DC" w:rsidR="04B366B0">
        <w:t>gramme</w:t>
      </w:r>
      <w:r w:rsidRPr="007E54DC">
        <w:t xml:space="preserve">. The project will </w:t>
      </w:r>
      <w:r w:rsidRPr="007E54DC" w:rsidR="2FA9E653">
        <w:t>follow</w:t>
      </w:r>
      <w:r w:rsidRPr="007E54DC">
        <w:rPr>
          <w:rFonts w:eastAsiaTheme="minorEastAsia"/>
          <w:color w:val="000000" w:themeColor="text1"/>
        </w:rPr>
        <w:t xml:space="preserve"> ICF regulations and reporting, which are already embedded into the BPF Monitoring, Evaluation and Learning (MEL) framework. </w:t>
      </w:r>
    </w:p>
    <w:p w:rsidRPr="007E54DC" w:rsidR="00E05C73" w:rsidP="00C92CBA" w:rsidRDefault="009069BC" w14:paraId="51F7A807" w14:textId="715F3741">
      <w:pPr>
        <w:rPr>
          <w:color w:val="000000" w:themeColor="text1"/>
        </w:rPr>
      </w:pPr>
      <w:r w:rsidRPr="007E54DC">
        <w:t>As mentioned previously, the Executive Board decide</w:t>
      </w:r>
      <w:r w:rsidRPr="007E54DC" w:rsidR="00867500">
        <w:t>s</w:t>
      </w:r>
      <w:r w:rsidRPr="007E54DC">
        <w:t xml:space="preserve"> what </w:t>
      </w:r>
      <w:r w:rsidRPr="007E54DC" w:rsidR="00867500">
        <w:t>projects</w:t>
      </w:r>
      <w:r w:rsidRPr="007E54DC">
        <w:t xml:space="preserve"> the funds will be </w:t>
      </w:r>
      <w:r w:rsidRPr="007E54DC" w:rsidR="00867500">
        <w:t>invested in</w:t>
      </w:r>
      <w:r w:rsidRPr="007E54DC" w:rsidR="00C31C47">
        <w:t>,</w:t>
      </w:r>
      <w:r w:rsidRPr="007E54DC">
        <w:t xml:space="preserve"> and Defra influences these decisions with our permanent seat on the Board.</w:t>
      </w:r>
      <w:r w:rsidRPr="007E54DC" w:rsidR="00612E49">
        <w:t xml:space="preserve"> </w:t>
      </w:r>
      <w:r w:rsidRPr="007E54DC" w:rsidR="007104C6">
        <w:t>E</w:t>
      </w:r>
      <w:r w:rsidRPr="007E54DC" w:rsidR="00867500">
        <w:t xml:space="preserve">ach permanent board member, regardless the size of the </w:t>
      </w:r>
      <w:r w:rsidRPr="007E54DC" w:rsidR="00612E49">
        <w:t>contribution</w:t>
      </w:r>
      <w:r w:rsidRPr="007E54DC" w:rsidR="00867500">
        <w:t>, represents one voting</w:t>
      </w:r>
      <w:r w:rsidRPr="007E54DC" w:rsidR="00612E49">
        <w:t xml:space="preserve"> seat </w:t>
      </w:r>
      <w:r w:rsidRPr="007E54DC" w:rsidR="007104C6">
        <w:t xml:space="preserve">so </w:t>
      </w:r>
      <w:r w:rsidRPr="007E54DC" w:rsidR="00867500">
        <w:t xml:space="preserve">there is no risk of </w:t>
      </w:r>
      <w:r w:rsidRPr="007E54DC" w:rsidR="00612E49">
        <w:rPr>
          <w:rFonts w:ascii="Calibri" w:hAnsi="Calibri" w:cs="Calibri"/>
          <w:color w:val="000000" w:themeColor="text1"/>
        </w:rPr>
        <w:t xml:space="preserve">Defra's </w:t>
      </w:r>
      <w:r w:rsidRPr="007E54DC" w:rsidR="00867500">
        <w:rPr>
          <w:rFonts w:ascii="Calibri" w:hAnsi="Calibri" w:cs="Calibri"/>
          <w:color w:val="000000" w:themeColor="text1"/>
        </w:rPr>
        <w:t xml:space="preserve">proportionately larger </w:t>
      </w:r>
      <w:r w:rsidRPr="007E54DC" w:rsidR="00612E49">
        <w:rPr>
          <w:rFonts w:ascii="Calibri" w:hAnsi="Calibri" w:cs="Calibri"/>
          <w:color w:val="000000" w:themeColor="text1"/>
        </w:rPr>
        <w:t xml:space="preserve">contribution </w:t>
      </w:r>
      <w:r w:rsidRPr="007E54DC" w:rsidR="00867500">
        <w:rPr>
          <w:rFonts w:ascii="Calibri" w:hAnsi="Calibri" w:cs="Calibri"/>
          <w:color w:val="000000" w:themeColor="text1"/>
        </w:rPr>
        <w:t>creating</w:t>
      </w:r>
      <w:r w:rsidRPr="007E54DC" w:rsidR="00612E49">
        <w:rPr>
          <w:rFonts w:ascii="Calibri" w:hAnsi="Calibri" w:cs="Calibri"/>
          <w:color w:val="000000" w:themeColor="text1"/>
        </w:rPr>
        <w:t xml:space="preserve"> "significant influence" over the fund</w:t>
      </w:r>
      <w:r w:rsidRPr="007E54DC" w:rsidR="00101BE9">
        <w:rPr>
          <w:rFonts w:ascii="Calibri" w:hAnsi="Calibri" w:cs="Calibri"/>
          <w:color w:val="000000" w:themeColor="text1"/>
        </w:rPr>
        <w:t xml:space="preserve"> from an accounting perspective</w:t>
      </w:r>
      <w:r w:rsidRPr="007E54DC" w:rsidR="00295749">
        <w:rPr>
          <w:rFonts w:ascii="Calibri" w:hAnsi="Calibri" w:cs="Calibri"/>
          <w:color w:val="000000" w:themeColor="text1"/>
        </w:rPr>
        <w:t xml:space="preserve"> since the </w:t>
      </w:r>
      <w:r w:rsidRPr="007E54DC" w:rsidR="00101BE9">
        <w:rPr>
          <w:rFonts w:ascii="Calibri" w:hAnsi="Calibri" w:cs="Calibri"/>
          <w:color w:val="000000" w:themeColor="text1"/>
        </w:rPr>
        <w:t xml:space="preserve">GFCR is a </w:t>
      </w:r>
      <w:r w:rsidRPr="007E54DC" w:rsidR="00101BE9">
        <w:rPr>
          <w:rStyle w:val="normaltextrun"/>
          <w:rFonts w:ascii="Calibri" w:hAnsi="Calibri" w:cs="Calibri"/>
          <w:color w:val="000000" w:themeColor="text1"/>
        </w:rPr>
        <w:t>pooled fund</w:t>
      </w:r>
      <w:r w:rsidRPr="007E54DC" w:rsidR="00295749">
        <w:rPr>
          <w:rStyle w:val="normaltextrun"/>
          <w:rFonts w:ascii="Calibri" w:hAnsi="Calibri" w:cs="Calibri"/>
          <w:color w:val="000000" w:themeColor="text1"/>
        </w:rPr>
        <w:t>.</w:t>
      </w:r>
      <w:r w:rsidRPr="007E54DC" w:rsidR="00FF24CD">
        <w:rPr>
          <w:rStyle w:val="normaltextrun"/>
          <w:rFonts w:ascii="Calibri" w:hAnsi="Calibri" w:cs="Calibri"/>
          <w:color w:val="000000" w:themeColor="text1"/>
        </w:rPr>
        <w:t xml:space="preserve"> As mentioned previously, the UK will take on the role of Co-Chair form January 2023, the purpose of this role is to be an impartial </w:t>
      </w:r>
      <w:r w:rsidRPr="007E54DC" w:rsidR="00BA7BFE">
        <w:rPr>
          <w:rStyle w:val="normaltextrun"/>
          <w:rFonts w:ascii="Calibri" w:hAnsi="Calibri" w:cs="Calibri"/>
          <w:color w:val="000000" w:themeColor="text1"/>
        </w:rPr>
        <w:t>mediator</w:t>
      </w:r>
      <w:r w:rsidRPr="007E54DC" w:rsidR="00FF24CD">
        <w:rPr>
          <w:rStyle w:val="normaltextrun"/>
          <w:rFonts w:ascii="Calibri" w:hAnsi="Calibri" w:cs="Calibri"/>
          <w:color w:val="000000" w:themeColor="text1"/>
        </w:rPr>
        <w:t xml:space="preserve"> and to steer meaningful and constructive discussions; The UK will ensure not to abuse this position to influence other donors. </w:t>
      </w:r>
      <w:r w:rsidRPr="007E54DC" w:rsidR="00E05C73">
        <w:rPr>
          <w:rStyle w:val="normaltextrun"/>
          <w:rFonts w:ascii="Calibri" w:hAnsi="Calibri" w:cs="Calibri"/>
          <w:color w:val="000000" w:themeColor="text1"/>
        </w:rPr>
        <w:t xml:space="preserve">Furthermore, </w:t>
      </w:r>
      <w:r w:rsidRPr="007E54DC" w:rsidR="00E05C73">
        <w:rPr>
          <w:color w:val="000000" w:themeColor="text1"/>
        </w:rPr>
        <w:t>successful intervention is assumed on the basis that: the UK remains committed to tackling ocean issues, governments and stakeholders are willing to engage with BPF, evidence supports decision making and HMG portfolios effectively coordinate.</w:t>
      </w:r>
    </w:p>
    <w:p w:rsidRPr="007E54DC" w:rsidR="2A5F4C8D" w:rsidP="00F12462" w:rsidRDefault="2A5F4C8D" w14:paraId="26B8D69B" w14:textId="7015D8FF" w14:noSpellErr="1">
      <w:pPr>
        <w:pStyle w:val="Heading3"/>
        <w:rPr/>
      </w:pPr>
      <w:bookmarkStart w:name="_Toc1356680743" w:id="1540794165"/>
      <w:r w:rsidR="2A5F4C8D">
        <w:rPr/>
        <w:t>Accounting Officer Assessment</w:t>
      </w:r>
      <w:bookmarkEnd w:id="1540794165"/>
    </w:p>
    <w:p w:rsidRPr="007E54DC" w:rsidR="004054DC" w:rsidP="004054DC" w:rsidRDefault="0315337C" w14:paraId="1132A6FA" w14:textId="1A85C902">
      <w:r w:rsidRPr="007E54DC">
        <w:t>As with the original Full Business Case, this addendum meet</w:t>
      </w:r>
      <w:r w:rsidRPr="007E54DC" w:rsidR="34C4FC43">
        <w:t>s</w:t>
      </w:r>
      <w:r w:rsidRPr="007E54DC">
        <w:t xml:space="preserve"> the criteria below:</w:t>
      </w:r>
    </w:p>
    <w:p w:rsidRPr="007E54DC" w:rsidR="2A5F4C8D" w:rsidP="24F5A62B" w:rsidRDefault="5CD477BD" w14:paraId="0E6E7462" w14:textId="2EDCE314">
      <w:pPr>
        <w:rPr>
          <w:rFonts w:eastAsiaTheme="minorEastAsia"/>
          <w:color w:val="000000" w:themeColor="text1"/>
        </w:rPr>
      </w:pPr>
      <w:r w:rsidRPr="007E54DC">
        <w:rPr>
          <w:rFonts w:eastAsiaTheme="minorEastAsia"/>
          <w:b/>
          <w:bCs/>
        </w:rPr>
        <w:t>Affordability</w:t>
      </w:r>
      <w:r w:rsidRPr="007E54DC">
        <w:rPr>
          <w:rFonts w:eastAsiaTheme="minorEastAsia"/>
        </w:rPr>
        <w:t xml:space="preserve"> (and financial sustainability): </w:t>
      </w:r>
      <w:r w:rsidRPr="007E54DC">
        <w:rPr>
          <w:rFonts w:eastAsiaTheme="minorEastAsia"/>
          <w:color w:val="000000" w:themeColor="text1"/>
        </w:rPr>
        <w:t xml:space="preserve">The programme will work </w:t>
      </w:r>
      <w:r w:rsidRPr="007E54DC" w:rsidR="6D28E240">
        <w:rPr>
          <w:rFonts w:eastAsiaTheme="minorEastAsia"/>
          <w:color w:val="000000" w:themeColor="text1"/>
        </w:rPr>
        <w:t>within</w:t>
      </w:r>
      <w:r w:rsidRPr="007E54DC">
        <w:rPr>
          <w:rFonts w:eastAsiaTheme="minorEastAsia"/>
          <w:color w:val="000000" w:themeColor="text1"/>
        </w:rPr>
        <w:t xml:space="preserve"> the agreed </w:t>
      </w:r>
      <w:r w:rsidRPr="007E54DC" w:rsidR="6D28E240">
        <w:rPr>
          <w:rFonts w:eastAsiaTheme="minorEastAsia"/>
          <w:color w:val="000000" w:themeColor="text1"/>
        </w:rPr>
        <w:t xml:space="preserve">BPF </w:t>
      </w:r>
      <w:r w:rsidRPr="007E54DC">
        <w:rPr>
          <w:rFonts w:eastAsiaTheme="minorEastAsia"/>
          <w:color w:val="000000" w:themeColor="text1"/>
        </w:rPr>
        <w:t>budget of</w:t>
      </w:r>
      <w:r w:rsidRPr="007E54DC" w:rsidR="6D28E240">
        <w:rPr>
          <w:rFonts w:eastAsiaTheme="minorEastAsia"/>
          <w:color w:val="000000" w:themeColor="text1"/>
        </w:rPr>
        <w:t xml:space="preserve"> £179m allocated for the</w:t>
      </w:r>
      <w:r w:rsidRPr="007E54DC">
        <w:rPr>
          <w:rFonts w:eastAsiaTheme="minorEastAsia"/>
          <w:color w:val="000000" w:themeColor="text1"/>
        </w:rPr>
        <w:t xml:space="preserve"> current SR21 period. Delivery will be subject to agreed budget availability and safeguards will be in place to curtail activities should future budgets not be secured in a later SR. </w:t>
      </w:r>
    </w:p>
    <w:p w:rsidRPr="007E54DC" w:rsidR="2A5F4C8D" w:rsidRDefault="5CD477BD" w14:paraId="7164B85D" w14:textId="197D1AC9">
      <w:pPr>
        <w:rPr>
          <w:rFonts w:ascii="Calibri" w:hAnsi="Calibri" w:eastAsia="Calibri" w:cs="Calibri"/>
        </w:rPr>
      </w:pPr>
      <w:r w:rsidRPr="007E54DC">
        <w:rPr>
          <w:rFonts w:ascii="Calibri" w:hAnsi="Calibri" w:eastAsia="Calibri" w:cs="Calibri"/>
          <w:b/>
          <w:bCs/>
        </w:rPr>
        <w:t>Regularity:</w:t>
      </w:r>
      <w:r w:rsidRPr="007E54DC">
        <w:rPr>
          <w:rFonts w:ascii="Calibri" w:hAnsi="Calibri" w:eastAsia="Calibri" w:cs="Calibri"/>
        </w:rPr>
        <w:t xml:space="preserve"> </w:t>
      </w:r>
      <w:r w:rsidRPr="007E54DC" w:rsidR="098F7E75">
        <w:rPr>
          <w:rFonts w:ascii="Calibri" w:hAnsi="Calibri" w:eastAsia="Calibri" w:cs="Calibri"/>
        </w:rPr>
        <w:t>T</w:t>
      </w:r>
      <w:r w:rsidRPr="007E54DC">
        <w:rPr>
          <w:rFonts w:ascii="Calibri" w:hAnsi="Calibri" w:eastAsia="Calibri" w:cs="Calibri"/>
        </w:rPr>
        <w:t xml:space="preserve">he project will be managed in accordance with HMT’s Managing Public Money guidance and in line with the Defra ODA guidance. Legal powers are in place through the International </w:t>
      </w:r>
      <w:r w:rsidRPr="007E54DC">
        <w:rPr>
          <w:rFonts w:ascii="Calibri" w:hAnsi="Calibri" w:eastAsia="Calibri" w:cs="Calibri"/>
        </w:rPr>
        <w:t xml:space="preserve">Development (Official Development Assistance Target) Act 2015. This project meets the ODA requirement that the activity must promote the economic development and welfare of developing countries as its main objective. </w:t>
      </w:r>
    </w:p>
    <w:p w:rsidRPr="007E54DC" w:rsidR="2A5F4C8D" w:rsidRDefault="2A5F4C8D" w14:paraId="1416BB40" w14:textId="7A7B4320">
      <w:pPr>
        <w:rPr>
          <w:rFonts w:ascii="Calibri" w:hAnsi="Calibri" w:eastAsia="Calibri" w:cs="Calibri"/>
        </w:rPr>
      </w:pPr>
      <w:r w:rsidRPr="007E54DC">
        <w:rPr>
          <w:rFonts w:ascii="Calibri" w:hAnsi="Calibri" w:eastAsia="Calibri" w:cs="Calibri"/>
          <w:b/>
          <w:bCs/>
        </w:rPr>
        <w:t>Propriety:</w:t>
      </w:r>
      <w:r w:rsidRPr="007E54DC">
        <w:rPr>
          <w:rFonts w:ascii="Calibri" w:hAnsi="Calibri" w:eastAsia="Calibri" w:cs="Calibri"/>
        </w:rPr>
        <w:t xml:space="preserve"> ODA funding will be allocated under Section 1 of the International Development Act 2002 and expenditure will be in accordance with this legislation and all ODA requirements. The project will not breach any parliamentary control procedures or expectations, Defra Board governance structures will be followed which are guided by the Corporate Governance Code. Additionally, payment in advance has HMT approval for this project.  </w:t>
      </w:r>
    </w:p>
    <w:p w:rsidRPr="007E54DC" w:rsidR="2A5F4C8D" w:rsidRDefault="2A5F4C8D" w14:paraId="0A82AE9A" w14:textId="3B37C53B">
      <w:pPr>
        <w:rPr>
          <w:rFonts w:ascii="Arial" w:hAnsi="Arial" w:eastAsia="Arial" w:cs="Arial"/>
          <w:color w:val="000000" w:themeColor="text1"/>
        </w:rPr>
      </w:pPr>
      <w:r w:rsidRPr="007E54DC">
        <w:rPr>
          <w:rFonts w:ascii="Calibri" w:hAnsi="Calibri" w:eastAsia="Calibri" w:cs="Calibri"/>
          <w:b/>
          <w:bCs/>
        </w:rPr>
        <w:t>Value for money</w:t>
      </w:r>
      <w:r w:rsidRPr="007E54DC">
        <w:rPr>
          <w:rFonts w:ascii="Calibri" w:hAnsi="Calibri" w:eastAsia="Calibri" w:cs="Calibri"/>
        </w:rPr>
        <w:t>: The recommended option for funding has previously been appraised carefully against alternatives in the Full Business Case, which was approved in 2021</w:t>
      </w:r>
      <w:r w:rsidRPr="003E15FD">
        <w:rPr>
          <w:rFonts w:eastAsia="Calibri" w:cstheme="minorHAnsi"/>
        </w:rPr>
        <w:t xml:space="preserve">. </w:t>
      </w:r>
      <w:r w:rsidRPr="003E15FD" w:rsidR="35A7134D">
        <w:rPr>
          <w:rFonts w:eastAsiaTheme="majorEastAsia" w:cstheme="minorHAnsi"/>
        </w:rPr>
        <w:t>Overall, it has been determined that the right procedures, plans and approaches will be in place to ensure Economy, Efficiency, Effectiveness and Equity. The BPF investment criteria has also been determined at a cross-governmental level to ensure value for money in BPF investments and strategic alignment of investments with BPF objectives.</w:t>
      </w:r>
    </w:p>
    <w:p w:rsidRPr="007E54DC" w:rsidR="00C15035" w:rsidP="00C15035" w:rsidRDefault="2A5F4C8D" w14:paraId="6A0A0B84" w14:textId="6CD7AEC6">
      <w:pPr>
        <w:rPr>
          <w:rFonts w:ascii="Calibri" w:hAnsi="Calibri" w:eastAsia="Calibri" w:cs="Calibri"/>
        </w:rPr>
      </w:pPr>
      <w:r w:rsidRPr="007E54DC">
        <w:rPr>
          <w:rFonts w:ascii="Calibri" w:hAnsi="Calibri" w:eastAsia="Calibri" w:cs="Calibri"/>
          <w:b/>
          <w:bCs/>
        </w:rPr>
        <w:t>Feasibility:</w:t>
      </w:r>
      <w:r w:rsidRPr="007E54DC">
        <w:rPr>
          <w:rFonts w:ascii="Calibri" w:hAnsi="Calibri" w:eastAsia="Calibri" w:cs="Calibri"/>
        </w:rPr>
        <w:t xml:space="preserve"> The investment continues to be realistic, with funds implemented accurately, sustainably and to the intended timescale.</w:t>
      </w:r>
      <w:r w:rsidRPr="007E54DC" w:rsidR="00C15035">
        <w:rPr>
          <w:rFonts w:ascii="Calibri" w:hAnsi="Calibri" w:eastAsia="Calibri" w:cs="Calibri"/>
        </w:rPr>
        <w:t xml:space="preserve"> A monitoring framework has been developed </w:t>
      </w:r>
      <w:r w:rsidRPr="007E54DC" w:rsidR="00C15035">
        <w:rPr>
          <w:rStyle w:val="normaltextrun"/>
          <w:rFonts w:ascii="Calibri" w:hAnsi="Calibri" w:cs="Calibri"/>
          <w:color w:val="000000"/>
          <w:shd w:val="clear" w:color="auto" w:fill="FFFFFF"/>
        </w:rPr>
        <w:t>with corresponding delivery milestones to ensure that the desired outcomes can be feasibly met</w:t>
      </w:r>
      <w:r w:rsidRPr="007E54DC" w:rsidR="00C15035">
        <w:rPr>
          <w:rFonts w:ascii="Calibri" w:hAnsi="Calibri" w:eastAsia="Calibri" w:cs="Calibri"/>
        </w:rPr>
        <w:t xml:space="preserve">. </w:t>
      </w:r>
      <w:r w:rsidRPr="007E54DC">
        <w:rPr>
          <w:rFonts w:ascii="Calibri" w:hAnsi="Calibri" w:eastAsia="Calibri" w:cs="Calibri"/>
        </w:rPr>
        <w:t>The delivery partner is an experienced UN body and has well established processes in place to provide assurance that the programme will be delivered as intended.</w:t>
      </w:r>
      <w:r w:rsidRPr="007E54DC" w:rsidR="00C15035">
        <w:t xml:space="preserve"> With this UNDP has </w:t>
      </w:r>
      <w:r w:rsidRPr="007E54DC" w:rsidR="00C15035">
        <w:rPr>
          <w:rFonts w:ascii="Calibri" w:hAnsi="Calibri" w:eastAsia="Calibri" w:cs="Calibri"/>
        </w:rPr>
        <w:t xml:space="preserve">support of two UN agencies (UNEP and UNCDF). Each organisation brings its own distinct offering to the Fund, which are: </w:t>
      </w:r>
    </w:p>
    <w:p w:rsidRPr="007E54DC" w:rsidR="00C15035" w:rsidP="00C15035" w:rsidRDefault="00C15035" w14:paraId="1E68B8EC" w14:textId="751D90F3">
      <w:pPr>
        <w:pStyle w:val="ListParagraph"/>
        <w:numPr>
          <w:ilvl w:val="0"/>
          <w:numId w:val="5"/>
        </w:numPr>
        <w:rPr>
          <w:rFonts w:eastAsia="Calibri"/>
        </w:rPr>
      </w:pPr>
      <w:r w:rsidRPr="007E54DC">
        <w:rPr>
          <w:rFonts w:eastAsia="Calibri"/>
        </w:rPr>
        <w:t xml:space="preserve">UNDP provides expertise in policy reform and taps into its large network of country-based teams so they can play a convening role </w:t>
      </w:r>
    </w:p>
    <w:p w:rsidRPr="007E54DC" w:rsidR="00C15035" w:rsidP="00C15035" w:rsidRDefault="00C15035" w14:paraId="328AF3C7" w14:textId="745B844B">
      <w:pPr>
        <w:pStyle w:val="ListParagraph"/>
        <w:numPr>
          <w:ilvl w:val="0"/>
          <w:numId w:val="5"/>
        </w:numPr>
        <w:rPr>
          <w:rFonts w:eastAsia="Calibri"/>
        </w:rPr>
      </w:pPr>
      <w:r w:rsidRPr="007E54DC">
        <w:rPr>
          <w:rFonts w:eastAsia="Calibri"/>
        </w:rPr>
        <w:t xml:space="preserve">UNEP brings conservation and marine environment expertise </w:t>
      </w:r>
    </w:p>
    <w:p w:rsidRPr="007E54DC" w:rsidR="0403BAC4" w:rsidP="00C15035" w:rsidRDefault="25D29CE5" w14:paraId="1640E95D" w14:textId="46A0BAEE">
      <w:pPr>
        <w:pStyle w:val="ListParagraph"/>
        <w:numPr>
          <w:ilvl w:val="0"/>
          <w:numId w:val="5"/>
        </w:numPr>
      </w:pPr>
      <w:r w:rsidRPr="007E54DC">
        <w:rPr>
          <w:rFonts w:eastAsia="Calibri"/>
        </w:rPr>
        <w:t xml:space="preserve">UNCDF shares its proficiency in financial structuring with LDCs and other partners  </w:t>
      </w:r>
    </w:p>
    <w:p w:rsidRPr="007E54DC" w:rsidR="004C53C8" w:rsidP="004C53C8" w:rsidRDefault="004C53C8" w14:paraId="10CBF662" w14:textId="19EEB5BB" w14:noSpellErr="1">
      <w:pPr>
        <w:pStyle w:val="Heading3"/>
        <w:rPr/>
      </w:pPr>
      <w:bookmarkStart w:name="_Grant_Commitments_1" w:id="60"/>
      <w:bookmarkEnd w:id="60"/>
      <w:bookmarkStart w:name="_Toc331223346" w:id="1504812323"/>
      <w:r w:rsidR="004C53C8">
        <w:rPr/>
        <w:t>Grant Commitments</w:t>
      </w:r>
      <w:bookmarkEnd w:id="1504812323"/>
    </w:p>
    <w:p w:rsidRPr="007E54DC" w:rsidR="00396E2F" w:rsidP="004C53C8" w:rsidRDefault="57BB2FB7" w14:paraId="71EF7DDF" w14:textId="136CE4B8">
      <w:r w:rsidRPr="007E54DC">
        <w:t>As of July 2022, six donors have committed to £2</w:t>
      </w:r>
      <w:r w:rsidRPr="007E54DC" w:rsidR="05FD2E4E">
        <w:t>3</w:t>
      </w:r>
      <w:r w:rsidRPr="007E54DC" w:rsidR="4B608161">
        <w:t>.2</w:t>
      </w:r>
      <w:r w:rsidRPr="007E54DC">
        <w:t xml:space="preserve">m in </w:t>
      </w:r>
      <w:r w:rsidRPr="007E54DC" w:rsidR="205B7AB0">
        <w:t xml:space="preserve">grant </w:t>
      </w:r>
      <w:r w:rsidRPr="007E54DC">
        <w:t xml:space="preserve">contributions (Table </w:t>
      </w:r>
      <w:r w:rsidRPr="007E54DC" w:rsidR="6CF2FE50">
        <w:t>10</w:t>
      </w:r>
      <w:r w:rsidRPr="007E54DC">
        <w:t>)</w:t>
      </w:r>
      <w:r w:rsidRPr="007E54DC" w:rsidR="004C53C8">
        <w:rPr>
          <w:rStyle w:val="FootnoteReference"/>
        </w:rPr>
        <w:footnoteReference w:id="27"/>
      </w:r>
      <w:r w:rsidRPr="007E54DC">
        <w:t xml:space="preserve">. This represents significant progress from </w:t>
      </w:r>
      <w:r w:rsidRPr="2CBED01F">
        <w:rPr>
          <w:rFonts w:eastAsiaTheme="minorEastAsia"/>
        </w:rPr>
        <w:t xml:space="preserve">the original business case in May 2021, at which point only £5m had been secured. £8m has already </w:t>
      </w:r>
      <w:r w:rsidRPr="007E54DC">
        <w:t xml:space="preserve">been secured for 2022, with further donations expected through the year. </w:t>
      </w:r>
      <w:r w:rsidRPr="007E54DC" w:rsidR="23F82B17">
        <w:t xml:space="preserve">The </w:t>
      </w:r>
      <w:r w:rsidRPr="007E54DC">
        <w:t>GFCR are in discussion with several existing and new donors with a view to securing additional multi-year commitments</w:t>
      </w:r>
      <w:r w:rsidRPr="007E54DC" w:rsidR="391F891A">
        <w:t>.</w:t>
      </w:r>
    </w:p>
    <w:p w:rsidRPr="007E54DC" w:rsidR="00F36C78" w:rsidP="007453C3" w:rsidRDefault="00F36C78" w14:paraId="6EB5D643" w14:textId="77777777">
      <w:pPr>
        <w:spacing w:after="0"/>
      </w:pPr>
      <w:r w:rsidRPr="007E54DC">
        <w:rPr>
          <w:color w:val="000000" w:themeColor="text1"/>
        </w:rPr>
        <w:t xml:space="preserve">We understand UK funding to be </w:t>
      </w:r>
      <w:r w:rsidRPr="007E54DC">
        <w:rPr>
          <w:rFonts w:eastAsia="Times New Roman"/>
        </w:rPr>
        <w:t xml:space="preserve">significantly catalytic in terms of leveraging new finance for the Fund </w:t>
      </w:r>
      <w:r w:rsidRPr="007E54DC">
        <w:t>via pledging and deposits to the GFCR Grant Fund:</w:t>
      </w:r>
    </w:p>
    <w:p w:rsidRPr="007E54DC" w:rsidR="00F36C78" w:rsidP="007453C3" w:rsidRDefault="00F36C78" w14:paraId="50E9B5F6" w14:textId="347154EB">
      <w:pPr>
        <w:pStyle w:val="ListParagraph"/>
        <w:numPr>
          <w:ilvl w:val="0"/>
          <w:numId w:val="40"/>
        </w:numPr>
      </w:pPr>
      <w:r w:rsidRPr="007E54DC">
        <w:t>UK funding committed through SAA Addendum 1 (</w:t>
      </w:r>
      <w:r w:rsidRPr="007E54DC" w:rsidR="005A13A1">
        <w:t>£</w:t>
      </w:r>
      <w:r w:rsidRPr="007E54DC">
        <w:t>1 million) was key to unlock</w:t>
      </w:r>
      <w:r w:rsidRPr="007E54DC" w:rsidR="00365674">
        <w:t>ing</w:t>
      </w:r>
      <w:r w:rsidRPr="007E54DC">
        <w:t xml:space="preserve"> US$2 million in 2021 from</w:t>
      </w:r>
      <w:r w:rsidRPr="007E54DC" w:rsidR="009917FA">
        <w:t xml:space="preserve"> the Paul G. Allen Family Foundation</w:t>
      </w:r>
      <w:r w:rsidRPr="007E54DC" w:rsidR="009E01A3">
        <w:t xml:space="preserve"> </w:t>
      </w:r>
      <w:r w:rsidRPr="007E54DC" w:rsidR="009917FA">
        <w:t>(</w:t>
      </w:r>
      <w:r w:rsidRPr="007E54DC">
        <w:t>PGAFF</w:t>
      </w:r>
      <w:r w:rsidRPr="007E54DC" w:rsidR="009917FA">
        <w:t>)</w:t>
      </w:r>
      <w:r w:rsidRPr="007E54DC">
        <w:t xml:space="preserve"> – A pledge reliant on GFCR raising an additional US$10 million.</w:t>
      </w:r>
    </w:p>
    <w:p w:rsidRPr="007E54DC" w:rsidR="00F36C78" w:rsidP="007453C3" w:rsidRDefault="00F36C78" w14:paraId="30F66E51" w14:textId="53616E46">
      <w:pPr>
        <w:pStyle w:val="ListParagraph"/>
        <w:numPr>
          <w:ilvl w:val="0"/>
          <w:numId w:val="40"/>
        </w:numPr>
      </w:pPr>
      <w:r w:rsidRPr="007E54DC">
        <w:t xml:space="preserve">UK funding committed through SAA Addendum 2 was also used to unlock a further US$2 million in 2022 from PGAFF which had previously been pledged but again, contingent upon GFCR raising an additional US$10 million. </w:t>
      </w:r>
    </w:p>
    <w:p w:rsidRPr="007E54DC" w:rsidR="00F36C78" w:rsidP="007453C3" w:rsidRDefault="00F36C78" w14:paraId="78F2EBFE" w14:textId="4DEBDFD2">
      <w:pPr>
        <w:pStyle w:val="ListParagraph"/>
        <w:numPr>
          <w:ilvl w:val="0"/>
          <w:numId w:val="40"/>
        </w:numPr>
      </w:pPr>
      <w:r w:rsidRPr="007E54DC">
        <w:t xml:space="preserve">At COP26 in 2021, the UK contribution of </w:t>
      </w:r>
      <w:r w:rsidRPr="007E54DC" w:rsidR="00365674">
        <w:t>£</w:t>
      </w:r>
      <w:r w:rsidRPr="007E54DC">
        <w:t>3m was particularly critical to unlocking the Canadian pledge of CAD$ 6 million (USD $4.4m).</w:t>
      </w:r>
    </w:p>
    <w:p w:rsidRPr="007E54DC" w:rsidR="00F36C78" w:rsidP="00835775" w:rsidRDefault="00F36C78" w14:paraId="353CA1F2" w14:textId="7AD37C08">
      <w:pPr>
        <w:spacing w:after="0"/>
      </w:pPr>
      <w:r w:rsidRPr="007E54DC">
        <w:rPr>
          <w:rFonts w:ascii="Calibri" w:hAnsi="Calibri" w:eastAsia="Calibri" w:cs="Calibri"/>
        </w:rPr>
        <w:t>Furthermore, the level of support being committed by other Member States, like the UK, has been a key discussion point for new and or returning donors:</w:t>
      </w:r>
    </w:p>
    <w:p w:rsidRPr="007E54DC" w:rsidR="00F36C78" w:rsidP="006628DE" w:rsidRDefault="00F36C78" w14:paraId="721D9821" w14:textId="77777777">
      <w:pPr>
        <w:pStyle w:val="ListParagraph"/>
        <w:numPr>
          <w:ilvl w:val="0"/>
          <w:numId w:val="6"/>
        </w:numPr>
        <w:rPr>
          <w:rFonts w:eastAsia="Calibri"/>
          <w:color w:val="auto"/>
        </w:rPr>
      </w:pPr>
      <w:r w:rsidRPr="007E54DC">
        <w:rPr>
          <w:rFonts w:eastAsia="Calibri"/>
          <w:color w:val="auto"/>
        </w:rPr>
        <w:t xml:space="preserve">Securing Bloomberg Philanthropies and Builders Vision commitments of US$8 million and US$5 million respectively, required providing information on GFCR donors commitments for their assessment process. </w:t>
      </w:r>
    </w:p>
    <w:p w:rsidRPr="007E54DC" w:rsidR="00F36C78" w:rsidP="006628DE" w:rsidRDefault="00F36C78" w14:paraId="7462144F" w14:textId="27780A9E">
      <w:pPr>
        <w:pStyle w:val="ListParagraph"/>
        <w:numPr>
          <w:ilvl w:val="0"/>
          <w:numId w:val="6"/>
        </w:numPr>
        <w:rPr>
          <w:rFonts w:eastAsia="Calibri"/>
          <w:color w:val="auto"/>
        </w:rPr>
      </w:pPr>
      <w:r w:rsidRPr="2CBED01F">
        <w:rPr>
          <w:rFonts w:eastAsia="Calibri"/>
          <w:color w:val="auto"/>
        </w:rPr>
        <w:t xml:space="preserve">Canada, </w:t>
      </w:r>
      <w:r w:rsidRPr="2CBED01F" w:rsidR="00136274">
        <w:rPr>
          <w:rFonts w:eastAsia="Calibri"/>
          <w:color w:val="auto"/>
        </w:rPr>
        <w:t>Germany,</w:t>
      </w:r>
      <w:r w:rsidRPr="2CBED01F">
        <w:rPr>
          <w:rFonts w:eastAsia="Calibri"/>
          <w:color w:val="auto"/>
        </w:rPr>
        <w:t xml:space="preserve"> and Bloomberg have all quoted UK contributions when building their internal arguments for additional funding; Germany’s contribution is anticipated to grow in-pace with the UK scale.</w:t>
      </w:r>
    </w:p>
    <w:p w:rsidR="2CBED01F" w:rsidRDefault="2CBED01F" w14:paraId="123C51BC" w14:textId="30040DE4"/>
    <w:p w:rsidRPr="007E54DC" w:rsidR="004C53C8" w:rsidP="006E055F" w:rsidRDefault="004C53C8" w14:paraId="504561F6" w14:textId="5C513E8E">
      <w:r w:rsidRPr="007E54DC">
        <w:t xml:space="preserve">The GFCR continues to demonstrate a need for funding in both the immediate and longer term, despite the level of funding already secured. When considering GFCRs estimated incomings and expenditure up to the end of 2022, an estimated £5.5m in additional funding is required to deliver on approved projects and commitments this year. This is set out in </w:t>
      </w:r>
      <w:hyperlink w:anchor="_What_is_the">
        <w:r w:rsidRPr="007E54DC">
          <w:rPr>
            <w:rStyle w:val="Hyperlink"/>
          </w:rPr>
          <w:t>Table 1</w:t>
        </w:r>
      </w:hyperlink>
      <w:r w:rsidRPr="007E54DC">
        <w:t>.</w:t>
      </w:r>
    </w:p>
    <w:p w:rsidRPr="007E54DC" w:rsidR="000D18C3" w:rsidP="0022760D" w:rsidRDefault="00383C21" w14:paraId="13B192CB" w14:textId="11AA7184" w14:noSpellErr="1">
      <w:pPr>
        <w:pStyle w:val="Heading2"/>
        <w:rPr/>
      </w:pPr>
      <w:bookmarkStart w:name="_Toc639969497" w:id="218533862"/>
      <w:r w:rsidR="00383C21">
        <w:rPr/>
        <w:t xml:space="preserve">Section 4.4: </w:t>
      </w:r>
      <w:r w:rsidR="000D18C3">
        <w:rPr/>
        <w:t>Commercial Case</w:t>
      </w:r>
      <w:bookmarkEnd w:id="218533862"/>
    </w:p>
    <w:p w:rsidRPr="007E54DC" w:rsidR="006C2F94" w:rsidP="003832B5" w:rsidRDefault="0D146FED" w14:paraId="4BC1F1C1" w14:textId="4EDFFC06">
      <w:r w:rsidRPr="007E54DC">
        <w:rPr>
          <w:b/>
          <w:bCs/>
        </w:rPr>
        <w:t>There is minimal change to the Commercial Case.</w:t>
      </w:r>
      <w:r w:rsidRPr="007E54DC">
        <w:t xml:space="preserve"> </w:t>
      </w:r>
      <w:r w:rsidRPr="007E54DC">
        <w:rPr>
          <w:b/>
          <w:bCs/>
        </w:rPr>
        <w:t xml:space="preserve"> As discussed in the Full Business Case, a contribution continues to be the most appropriate funding mechanism for this project</w:t>
      </w:r>
      <w:r w:rsidRPr="007E54DC" w:rsidR="200EDCD8">
        <w:rPr>
          <w:b/>
          <w:bCs/>
        </w:rPr>
        <w:t>.</w:t>
      </w:r>
      <w:r w:rsidRPr="007E54DC">
        <w:rPr>
          <w:rStyle w:val="normaltextrun"/>
          <w:color w:val="000000" w:themeColor="text1"/>
        </w:rPr>
        <w:t xml:space="preserve"> GCFR remain in a strong position to deliver on our shared vision and UN agencies have a strong track record in this area including other projects funded by Defra. GFCR are also in a </w:t>
      </w:r>
      <w:r w:rsidRPr="007E54DC">
        <w:rPr>
          <w:rStyle w:val="findhit"/>
          <w:color w:val="000000" w:themeColor="text1"/>
        </w:rPr>
        <w:t>unique</w:t>
      </w:r>
      <w:r w:rsidRPr="007E54DC">
        <w:rPr>
          <w:rStyle w:val="normaltextrun"/>
          <w:color w:val="000000" w:themeColor="text1"/>
        </w:rPr>
        <w:t> position to deliver on our expectations and requirements because no other fund has a</w:t>
      </w:r>
      <w:r w:rsidRPr="007E54DC">
        <w:rPr>
          <w:rStyle w:val="normaltextrun"/>
          <w:color w:val="000000" w:themeColor="text1"/>
          <w:lang w:val="en-US"/>
        </w:rPr>
        <w:t xml:space="preserve"> coral reef focus coupled with a blended finance model.</w:t>
      </w:r>
      <w:r w:rsidRPr="007E54DC">
        <w:rPr>
          <w:rStyle w:val="normaltextrun"/>
          <w:rFonts w:ascii="Arial" w:hAnsi="Arial" w:cs="Arial"/>
          <w:color w:val="000000" w:themeColor="text1"/>
          <w:lang w:val="en-US"/>
        </w:rPr>
        <w:t xml:space="preserve"> </w:t>
      </w:r>
      <w:r w:rsidRPr="007E54DC">
        <w:t>As such Defra will be required to sign the Donor Agreement, as opposed to our standard Grant Agreement. With this, a UNDP MPFT Standard Administrative Agreement (SAA) will continue to be used to govern the relationship between Defra and the GCFR. This template will be used by all contributors of the Fund to standardise the approaches to reporting, monitoring, auditing, however recognising the individual needs of investors which will be reflected in dates and unique clauses in the agreement. The UK has signed a UN MPFT SAA for GFCR up to this point.</w:t>
      </w:r>
    </w:p>
    <w:p w:rsidRPr="007E54DC" w:rsidR="006C2F94" w:rsidDel="007107BF" w:rsidP="006C2F94" w:rsidRDefault="006C2F94" w14:paraId="6BBEC55A" w14:textId="7C17DC6C">
      <w:pPr>
        <w:rPr>
          <w:color w:val="000000"/>
          <w:shd w:val="clear" w:color="auto" w:fill="FFFFFF"/>
        </w:rPr>
      </w:pPr>
      <w:r w:rsidRPr="2CBED01F">
        <w:rPr>
          <w:rStyle w:val="normaltextrun"/>
          <w:color w:val="000000" w:themeColor="text1"/>
        </w:rPr>
        <w:t xml:space="preserve">To protect Defra interests, </w:t>
      </w:r>
      <w:r w:rsidRPr="2CBED01F" w:rsidR="005A13A1">
        <w:rPr>
          <w:rStyle w:val="normaltextrun"/>
          <w:color w:val="000000" w:themeColor="text1"/>
        </w:rPr>
        <w:t xml:space="preserve">commercial </w:t>
      </w:r>
      <w:r w:rsidRPr="2CBED01F">
        <w:rPr>
          <w:rStyle w:val="normaltextrun"/>
          <w:color w:val="000000" w:themeColor="text1"/>
        </w:rPr>
        <w:t xml:space="preserve">risks </w:t>
      </w:r>
      <w:r w:rsidRPr="2CBED01F" w:rsidR="005A13A1">
        <w:rPr>
          <w:rStyle w:val="normaltextrun"/>
          <w:color w:val="000000" w:themeColor="text1"/>
        </w:rPr>
        <w:t xml:space="preserve">will continue to be </w:t>
      </w:r>
      <w:r w:rsidRPr="2CBED01F">
        <w:rPr>
          <w:rStyle w:val="normaltextrun"/>
          <w:color w:val="000000" w:themeColor="text1"/>
        </w:rPr>
        <w:t>managed with exit clauses which allow for a discontinuation of funding following</w:t>
      </w:r>
      <w:r w:rsidRPr="2CBED01F">
        <w:rPr>
          <w:i/>
          <w:iCs/>
          <w:color w:val="000000" w:themeColor="text1"/>
        </w:rPr>
        <w:t xml:space="preserve"> “(</w:t>
      </w:r>
      <w:proofErr w:type="spellStart"/>
      <w:r w:rsidRPr="2CBED01F">
        <w:rPr>
          <w:i/>
          <w:iCs/>
          <w:color w:val="000000" w:themeColor="text1"/>
        </w:rPr>
        <w:t>i</w:t>
      </w:r>
      <w:proofErr w:type="spellEnd"/>
      <w:r w:rsidRPr="2CBED01F">
        <w:rPr>
          <w:i/>
          <w:iCs/>
          <w:color w:val="000000" w:themeColor="text1"/>
        </w:rPr>
        <w:t xml:space="preserve">)failure to fulfil any obligations under this Arrangement, (ii) if there are substantial revisions of the TOR; or (iii) if there are credible allegations of improper use of the funds in accordance with Section VIII of this Arrangement.”. </w:t>
      </w:r>
      <w:r w:rsidRPr="2CBED01F">
        <w:rPr>
          <w:color w:val="000000" w:themeColor="text1"/>
        </w:rPr>
        <w:t xml:space="preserve">In addition, Section XI of the original SAA details clauses relating to expiration, modification, </w:t>
      </w:r>
      <w:r w:rsidRPr="2CBED01F" w:rsidR="00136274">
        <w:rPr>
          <w:color w:val="000000" w:themeColor="text1"/>
        </w:rPr>
        <w:t>termination,</w:t>
      </w:r>
      <w:r w:rsidRPr="2CBED01F">
        <w:rPr>
          <w:color w:val="000000" w:themeColor="text1"/>
        </w:rPr>
        <w:t xml:space="preserve"> and unspent balances, for example “</w:t>
      </w:r>
      <w:r w:rsidRPr="2CBED01F">
        <w:rPr>
          <w:i/>
          <w:iCs/>
          <w:color w:val="000000" w:themeColor="text1"/>
        </w:rPr>
        <w:t xml:space="preserve">Any balance remaining in the Fund Account upon completion of the Fund will be </w:t>
      </w:r>
      <w:r w:rsidRPr="2CBED01F" w:rsidR="00136274">
        <w:rPr>
          <w:i/>
          <w:iCs/>
          <w:color w:val="000000" w:themeColor="text1"/>
        </w:rPr>
        <w:t>used for a purpose mutually agreed upon or returned to the</w:t>
      </w:r>
      <w:r w:rsidRPr="2CBED01F">
        <w:rPr>
          <w:i/>
          <w:iCs/>
          <w:color w:val="000000" w:themeColor="text1"/>
        </w:rPr>
        <w:t xml:space="preserve"> </w:t>
      </w:r>
      <w:r w:rsidRPr="2CBED01F" w:rsidR="00136274">
        <w:rPr>
          <w:i/>
          <w:iCs/>
          <w:color w:val="000000" w:themeColor="text1"/>
        </w:rPr>
        <w:t>Donor in proportion to</w:t>
      </w:r>
      <w:r w:rsidRPr="2CBED01F">
        <w:rPr>
          <w:i/>
          <w:iCs/>
          <w:color w:val="000000" w:themeColor="text1"/>
        </w:rPr>
        <w:t xml:space="preserve"> its contribution to the Fund as decided upon by the Donor and the Executive Board</w:t>
      </w:r>
      <w:r w:rsidRPr="2CBED01F">
        <w:rPr>
          <w:color w:val="000000" w:themeColor="text1"/>
        </w:rPr>
        <w:t xml:space="preserve">”. </w:t>
      </w:r>
    </w:p>
    <w:p w:rsidRPr="007E54DC" w:rsidR="000D18C3" w:rsidP="0403BAC4" w:rsidRDefault="006C2F94" w14:paraId="12B4B371" w14:textId="5B85D79C">
      <w:r w:rsidRPr="007E54DC">
        <w:t xml:space="preserve">As with </w:t>
      </w:r>
      <w:r w:rsidRPr="007E54DC" w:rsidR="005A13A1">
        <w:t xml:space="preserve">all UN </w:t>
      </w:r>
      <w:r w:rsidRPr="007E54DC">
        <w:t xml:space="preserve">MPTFs, Defra funds will be pooled with other donor finance and as such we are unable to directly attribute UK funding to specific outlay on the ground. For this reason, the Agreement does not specify exact deliverables nor what the funding will be spent on, aside from ODA eligibility, as this will be determined by the Executive Board on a </w:t>
      </w:r>
      <w:r w:rsidRPr="007E54DC" w:rsidR="00136274">
        <w:t>project-by-project</w:t>
      </w:r>
      <w:r w:rsidRPr="007E54DC">
        <w:t xml:space="preserve"> basis. Therefore, the Fund will only provide detailed financial reporting at a Fund level perspective only, as opposed to tracking Defra funding in isolation.</w:t>
      </w:r>
    </w:p>
    <w:p w:rsidRPr="007E54DC" w:rsidR="001734FE" w:rsidP="00F12462" w:rsidRDefault="54709B81" w14:paraId="45A5359F" w14:textId="0432E421">
      <w:pPr>
        <w:spacing w:after="160"/>
        <w:rPr>
          <w:rFonts w:eastAsiaTheme="minorEastAsia"/>
          <w:color w:val="000000" w:themeColor="text1"/>
        </w:rPr>
      </w:pPr>
      <w:r w:rsidRPr="007E54DC">
        <w:rPr>
          <w:rFonts w:eastAsiaTheme="minorEastAsia"/>
          <w:color w:val="000000" w:themeColor="text1"/>
        </w:rPr>
        <w:t xml:space="preserve">Due diligence </w:t>
      </w:r>
      <w:r w:rsidRPr="007E54DC" w:rsidR="5EB38F83">
        <w:rPr>
          <w:rFonts w:eastAsiaTheme="minorEastAsia"/>
          <w:color w:val="000000" w:themeColor="text1"/>
        </w:rPr>
        <w:t xml:space="preserve">checks </w:t>
      </w:r>
      <w:r w:rsidRPr="007E54DC" w:rsidR="1517ACE2">
        <w:rPr>
          <w:rFonts w:eastAsiaTheme="minorEastAsia"/>
          <w:color w:val="000000" w:themeColor="text1"/>
        </w:rPr>
        <w:t xml:space="preserve">against </w:t>
      </w:r>
      <w:r w:rsidRPr="007E54DC" w:rsidR="001734FE">
        <w:rPr>
          <w:rFonts w:eastAsiaTheme="minorEastAsia"/>
          <w:color w:val="000000" w:themeColor="text1"/>
        </w:rPr>
        <w:t xml:space="preserve">UNDP as </w:t>
      </w:r>
      <w:r w:rsidRPr="007E54DC" w:rsidR="1517ACE2">
        <w:rPr>
          <w:rFonts w:eastAsiaTheme="minorEastAsia"/>
          <w:color w:val="000000" w:themeColor="text1"/>
        </w:rPr>
        <w:t xml:space="preserve">the delivery partner </w:t>
      </w:r>
      <w:r w:rsidRPr="007E54DC">
        <w:rPr>
          <w:rFonts w:eastAsiaTheme="minorEastAsia"/>
          <w:color w:val="000000" w:themeColor="text1"/>
        </w:rPr>
        <w:t>w</w:t>
      </w:r>
      <w:r w:rsidRPr="007E54DC" w:rsidR="4C5C079A">
        <w:rPr>
          <w:rFonts w:eastAsiaTheme="minorEastAsia"/>
          <w:color w:val="000000" w:themeColor="text1"/>
        </w:rPr>
        <w:t>ere</w:t>
      </w:r>
      <w:r w:rsidRPr="007E54DC">
        <w:rPr>
          <w:rFonts w:eastAsiaTheme="minorEastAsia"/>
          <w:color w:val="000000" w:themeColor="text1"/>
        </w:rPr>
        <w:t xml:space="preserve"> </w:t>
      </w:r>
      <w:r w:rsidRPr="007E54DC" w:rsidR="001734FE">
        <w:rPr>
          <w:rFonts w:eastAsiaTheme="minorEastAsia"/>
          <w:color w:val="000000" w:themeColor="text1"/>
        </w:rPr>
        <w:t xml:space="preserve">undertaken </w:t>
      </w:r>
      <w:r w:rsidRPr="007E54DC">
        <w:rPr>
          <w:rFonts w:eastAsiaTheme="minorEastAsia"/>
          <w:color w:val="000000" w:themeColor="text1"/>
        </w:rPr>
        <w:t xml:space="preserve">in the </w:t>
      </w:r>
      <w:r w:rsidRPr="007E54DC" w:rsidR="001734FE">
        <w:rPr>
          <w:rFonts w:eastAsiaTheme="minorEastAsia"/>
          <w:color w:val="000000" w:themeColor="text1"/>
        </w:rPr>
        <w:t xml:space="preserve">original </w:t>
      </w:r>
      <w:r w:rsidRPr="007E54DC">
        <w:rPr>
          <w:rFonts w:eastAsiaTheme="minorEastAsia"/>
          <w:color w:val="000000" w:themeColor="text1"/>
        </w:rPr>
        <w:t>Full Business Case</w:t>
      </w:r>
      <w:r w:rsidRPr="007E54DC" w:rsidR="00C23F0F">
        <w:t xml:space="preserve"> </w:t>
      </w:r>
      <w:r w:rsidRPr="007E54DC" w:rsidR="2A0071C5">
        <w:rPr>
          <w:rFonts w:eastAsiaTheme="minorEastAsia"/>
          <w:color w:val="000000" w:themeColor="text1"/>
        </w:rPr>
        <w:t>using</w:t>
      </w:r>
      <w:r w:rsidRPr="007E54DC" w:rsidR="2214B0F6">
        <w:rPr>
          <w:rFonts w:eastAsiaTheme="minorEastAsia"/>
          <w:color w:val="000000" w:themeColor="text1"/>
        </w:rPr>
        <w:t xml:space="preserve"> the Defra Group Commercial due diligence checklist which found no issues and a scored a green recommendation meaning very limited risks. The GFCR team also provided a completed due diligence questionnaire, answering a variety of due diligence questions from governance and internal control, ability to deliver, financial stability to downstream delivery, none of which raised any issues.</w:t>
      </w:r>
    </w:p>
    <w:p w:rsidRPr="007E54DC" w:rsidR="001734FE" w:rsidP="201F76B4" w:rsidRDefault="04B5D29B" w14:paraId="6FC165AD" w14:textId="65516B9D">
      <w:pPr>
        <w:rPr>
          <w:rFonts w:ascii="Calibri" w:hAnsi="Calibri" w:eastAsia="Calibri" w:cs="Calibri"/>
        </w:rPr>
      </w:pPr>
      <w:r w:rsidRPr="007E54DC">
        <w:t xml:space="preserve">In December 2022, </w:t>
      </w:r>
      <w:r w:rsidRPr="007E54DC" w:rsidR="4AD1FAF6">
        <w:t xml:space="preserve">Defra </w:t>
      </w:r>
      <w:r w:rsidRPr="007E54DC">
        <w:t xml:space="preserve">initiated a further </w:t>
      </w:r>
      <w:r w:rsidRPr="007E54DC" w:rsidR="5A6B4673">
        <w:t xml:space="preserve">enhanced </w:t>
      </w:r>
      <w:r w:rsidRPr="007E54DC">
        <w:t>internal</w:t>
      </w:r>
      <w:r w:rsidRPr="007E54DC" w:rsidR="4AD1FAF6">
        <w:t xml:space="preserve"> due diligence</w:t>
      </w:r>
      <w:r w:rsidRPr="007E54DC">
        <w:t xml:space="preserve"> self-</w:t>
      </w:r>
      <w:r w:rsidRPr="007E54DC" w:rsidR="4AD1FAF6">
        <w:t>assessment</w:t>
      </w:r>
      <w:r w:rsidRPr="007E54DC">
        <w:t xml:space="preserve"> </w:t>
      </w:r>
      <w:r w:rsidRPr="007E54DC">
        <w:rPr>
          <w:rFonts w:eastAsia="Times New Roman"/>
        </w:rPr>
        <w:t xml:space="preserve">based on the FCDO’s 5 pillars of due diligence (governance and internal controls, ability to deliver, financial stability, downstream delivery, and safeguarding) </w:t>
      </w:r>
      <w:r w:rsidRPr="007E54DC" w:rsidR="4AD1FAF6">
        <w:rPr>
          <w:rFonts w:ascii="Calibri" w:hAnsi="Calibri" w:eastAsia="Calibri" w:cs="Calibri"/>
        </w:rPr>
        <w:t>that focusses on the UNDP GFCR team</w:t>
      </w:r>
      <w:r w:rsidRPr="007E54DC">
        <w:rPr>
          <w:rFonts w:ascii="Calibri" w:hAnsi="Calibri" w:eastAsia="Calibri" w:cs="Calibri"/>
        </w:rPr>
        <w:t>.</w:t>
      </w:r>
      <w:r w:rsidRPr="007E54DC" w:rsidR="12DA1941">
        <w:rPr>
          <w:rFonts w:ascii="Calibri" w:hAnsi="Calibri" w:eastAsia="Calibri" w:cs="Calibri"/>
        </w:rPr>
        <w:t xml:space="preserve"> </w:t>
      </w:r>
      <w:r w:rsidRPr="007E54DC" w:rsidR="6C3EE113">
        <w:rPr>
          <w:rFonts w:ascii="Calibri" w:hAnsi="Calibri" w:eastAsia="Calibri" w:cs="Calibri"/>
        </w:rPr>
        <w:t xml:space="preserve">The self-assessment will complement </w:t>
      </w:r>
      <w:r w:rsidRPr="007E54DC" w:rsidR="6C3EE113">
        <w:t>the Multilateral Organisation Performance Assessment Network (MOPAN) review on UNDP</w:t>
      </w:r>
      <w:r w:rsidRPr="007E54DC" w:rsidR="00137D4C">
        <w:rPr>
          <w:rStyle w:val="FootnoteReference"/>
        </w:rPr>
        <w:footnoteReference w:id="28"/>
      </w:r>
      <w:r w:rsidRPr="007E54DC" w:rsidR="6C3EE113">
        <w:t xml:space="preserve"> completed in 2021 and the Central Assurance Assessment carried out on UNDP in 2020, see Table 1</w:t>
      </w:r>
      <w:r w:rsidR="000473E7">
        <w:t>0</w:t>
      </w:r>
      <w:r w:rsidRPr="007E54DC" w:rsidR="6C3EE113">
        <w:t xml:space="preserve"> below for a summary of findings.</w:t>
      </w:r>
    </w:p>
    <w:p w:rsidRPr="007E54DC" w:rsidR="001734FE" w:rsidP="201F76B4" w:rsidRDefault="3384A0B6" w14:paraId="716A46C5" w14:textId="093A07AC">
      <w:pPr>
        <w:rPr>
          <w:rFonts w:ascii="Calibri" w:hAnsi="Calibri" w:eastAsia="Calibri" w:cs="Calibri"/>
        </w:rPr>
      </w:pPr>
      <w:r w:rsidRPr="007E54DC">
        <w:rPr>
          <w:rFonts w:ascii="Calibri" w:hAnsi="Calibri" w:eastAsia="Calibri" w:cs="Calibri"/>
        </w:rPr>
        <w:t>Through this process Defra have built a strong working relationship with the FCDO UNDP Institutional lead. Their advice is that the current due diligence package on UNDP is in a good place - primarily through a combination of the CAA and MOPAN report. Although some questions are outstanding on their fraud and whistleblowing policies and the additional risks associated with them, audit investigations are well underway to establish a process to further mitigate against these risks and protect the UK. In addition, there are specific items on this at the next UNDP Executive Board (scheduled Jan 2023) on which the UK has a seat. Overall</w:t>
      </w:r>
      <w:r w:rsidRPr="007E54DC" w:rsidR="5A14925F">
        <w:rPr>
          <w:rFonts w:ascii="Calibri" w:hAnsi="Calibri" w:eastAsia="Calibri" w:cs="Calibri"/>
        </w:rPr>
        <w:t>,</w:t>
      </w:r>
      <w:r w:rsidRPr="007E54DC">
        <w:rPr>
          <w:rFonts w:ascii="Calibri" w:hAnsi="Calibri" w:eastAsia="Calibri" w:cs="Calibri"/>
        </w:rPr>
        <w:t xml:space="preserve"> the institutional lead confirmed that there are no risks which would require the UK to cease or</w:t>
      </w:r>
      <w:r w:rsidRPr="007E54DC" w:rsidR="75DAA7B6">
        <w:rPr>
          <w:rFonts w:ascii="Calibri" w:hAnsi="Calibri" w:eastAsia="Calibri" w:cs="Calibri"/>
        </w:rPr>
        <w:t xml:space="preserve"> not</w:t>
      </w:r>
      <w:r w:rsidRPr="007E54DC">
        <w:rPr>
          <w:rFonts w:ascii="Calibri" w:hAnsi="Calibri" w:eastAsia="Calibri" w:cs="Calibri"/>
        </w:rPr>
        <w:t xml:space="preserve"> go ahead with further funding. A new CAA is also likely to be conducted in the next year.</w:t>
      </w:r>
    </w:p>
    <w:tbl>
      <w:tblPr>
        <w:tblW w:w="9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85"/>
        <w:gridCol w:w="1329"/>
        <w:gridCol w:w="4048"/>
        <w:gridCol w:w="2756"/>
      </w:tblGrid>
      <w:tr w:rsidRPr="007E54DC" w:rsidR="009670C4" w:rsidTr="009670C4" w14:paraId="10C9BA15" w14:textId="77777777">
        <w:trPr>
          <w:trHeight w:val="555"/>
        </w:trPr>
        <w:tc>
          <w:tcPr>
            <w:tcW w:w="1785" w:type="dxa"/>
            <w:vAlign w:val="center"/>
          </w:tcPr>
          <w:p w:rsidRPr="007E54DC" w:rsidR="009670C4" w:rsidP="00802E75" w:rsidRDefault="009670C4" w14:paraId="147C57E7" w14:textId="77777777">
            <w:pPr>
              <w:jc w:val="center"/>
              <w:rPr>
                <w:rFonts w:eastAsia="Arial"/>
                <w:b/>
                <w:bCs/>
                <w:color w:val="FFFFFF" w:themeColor="background1"/>
                <w:sz w:val="20"/>
                <w:szCs w:val="20"/>
              </w:rPr>
            </w:pPr>
            <w:r w:rsidRPr="007E54DC">
              <w:rPr>
                <w:rFonts w:eastAsia="Arial"/>
                <w:b/>
                <w:bCs/>
                <w:sz w:val="20"/>
                <w:szCs w:val="20"/>
              </w:rPr>
              <w:t xml:space="preserve">Assessment </w:t>
            </w:r>
          </w:p>
        </w:tc>
        <w:tc>
          <w:tcPr>
            <w:tcW w:w="1329" w:type="dxa"/>
            <w:vAlign w:val="center"/>
          </w:tcPr>
          <w:p w:rsidRPr="007E54DC" w:rsidR="009670C4" w:rsidP="00802E75" w:rsidRDefault="009670C4" w14:paraId="0144ECA0" w14:textId="77777777">
            <w:pPr>
              <w:jc w:val="center"/>
              <w:rPr>
                <w:rFonts w:eastAsia="Arial"/>
                <w:b/>
                <w:bCs/>
                <w:color w:val="FFFFFF" w:themeColor="background1"/>
                <w:sz w:val="20"/>
                <w:szCs w:val="20"/>
              </w:rPr>
            </w:pPr>
            <w:r w:rsidRPr="007E54DC">
              <w:rPr>
                <w:rFonts w:eastAsia="Arial"/>
                <w:b/>
                <w:bCs/>
                <w:sz w:val="20"/>
                <w:szCs w:val="20"/>
              </w:rPr>
              <w:t>Date</w:t>
            </w:r>
          </w:p>
        </w:tc>
        <w:tc>
          <w:tcPr>
            <w:tcW w:w="4048" w:type="dxa"/>
            <w:vAlign w:val="center"/>
          </w:tcPr>
          <w:p w:rsidRPr="007E54DC" w:rsidR="009670C4" w:rsidP="00802E75" w:rsidRDefault="009670C4" w14:paraId="4C3666FA" w14:textId="77777777">
            <w:pPr>
              <w:jc w:val="center"/>
              <w:rPr>
                <w:rFonts w:eastAsia="Arial"/>
                <w:b/>
                <w:bCs/>
                <w:color w:val="FFFFFF" w:themeColor="background1"/>
                <w:sz w:val="20"/>
                <w:szCs w:val="20"/>
              </w:rPr>
            </w:pPr>
            <w:r w:rsidRPr="007E54DC">
              <w:rPr>
                <w:rFonts w:eastAsia="Arial"/>
                <w:b/>
                <w:bCs/>
                <w:sz w:val="20"/>
                <w:szCs w:val="20"/>
              </w:rPr>
              <w:t>Description</w:t>
            </w:r>
          </w:p>
        </w:tc>
        <w:tc>
          <w:tcPr>
            <w:tcW w:w="2756" w:type="dxa"/>
            <w:vAlign w:val="center"/>
          </w:tcPr>
          <w:p w:rsidRPr="007E54DC" w:rsidR="009670C4" w:rsidP="00802E75" w:rsidRDefault="009670C4" w14:paraId="5E196F25" w14:textId="77777777">
            <w:pPr>
              <w:jc w:val="center"/>
              <w:rPr>
                <w:rFonts w:eastAsia="Arial"/>
                <w:b/>
                <w:bCs/>
                <w:sz w:val="20"/>
                <w:szCs w:val="20"/>
              </w:rPr>
            </w:pPr>
            <w:r w:rsidRPr="007E54DC">
              <w:rPr>
                <w:rFonts w:eastAsia="Arial"/>
                <w:b/>
                <w:bCs/>
                <w:sz w:val="20"/>
                <w:szCs w:val="20"/>
              </w:rPr>
              <w:t>Assurance assessment findings</w:t>
            </w:r>
          </w:p>
        </w:tc>
      </w:tr>
      <w:tr w:rsidRPr="007E54DC" w:rsidR="009670C4" w:rsidTr="009670C4" w14:paraId="5DF6B56A" w14:textId="77777777">
        <w:trPr>
          <w:trHeight w:val="75"/>
        </w:trPr>
        <w:tc>
          <w:tcPr>
            <w:tcW w:w="1785" w:type="dxa"/>
            <w:shd w:val="clear" w:color="auto" w:fill="auto"/>
            <w:vAlign w:val="center"/>
          </w:tcPr>
          <w:p w:rsidRPr="007E54DC" w:rsidR="009670C4" w:rsidP="00802E75" w:rsidRDefault="009670C4" w14:paraId="25F470BA"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CAA</w:t>
            </w:r>
          </w:p>
        </w:tc>
        <w:tc>
          <w:tcPr>
            <w:tcW w:w="1329" w:type="dxa"/>
            <w:shd w:val="clear" w:color="auto" w:fill="auto"/>
            <w:vAlign w:val="center"/>
          </w:tcPr>
          <w:p w:rsidRPr="007E54DC" w:rsidR="009670C4" w:rsidP="00802E75" w:rsidRDefault="009670C4" w14:paraId="2D9552C8"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2020</w:t>
            </w:r>
          </w:p>
        </w:tc>
        <w:tc>
          <w:tcPr>
            <w:tcW w:w="4048" w:type="dxa"/>
            <w:shd w:val="clear" w:color="auto" w:fill="auto"/>
          </w:tcPr>
          <w:p w:rsidRPr="007E54DC" w:rsidR="009670C4" w:rsidP="00802E75" w:rsidRDefault="009670C4" w14:paraId="549599DF" w14:textId="77777777">
            <w:pPr>
              <w:rPr>
                <w:rFonts w:eastAsia="Arial" w:cstheme="minorHAnsi"/>
                <w:sz w:val="20"/>
                <w:szCs w:val="20"/>
              </w:rPr>
            </w:pPr>
            <w:r w:rsidRPr="007E54DC">
              <w:rPr>
                <w:rFonts w:eastAsia="Arial" w:cstheme="minorHAnsi"/>
                <w:sz w:val="20"/>
                <w:szCs w:val="20"/>
              </w:rPr>
              <w:t xml:space="preserve">The framework of governance, risk management and control </w:t>
            </w:r>
            <w:proofErr w:type="gramStart"/>
            <w:r w:rsidRPr="007E54DC">
              <w:rPr>
                <w:rFonts w:eastAsia="Arial" w:cstheme="minorHAnsi"/>
                <w:sz w:val="20"/>
                <w:szCs w:val="20"/>
              </w:rPr>
              <w:t>presents</w:t>
            </w:r>
            <w:proofErr w:type="gramEnd"/>
            <w:r w:rsidRPr="007E54DC">
              <w:rPr>
                <w:rFonts w:eastAsia="Arial" w:cstheme="minorHAnsi"/>
                <w:sz w:val="20"/>
                <w:szCs w:val="20"/>
              </w:rPr>
              <w:t xml:space="preserve"> a moderate level of net risk and provides moderate assurance over the achievement of DFID objectives and funding. Risks to objectives are moderate (combined impact and likelihood).</w:t>
            </w:r>
          </w:p>
        </w:tc>
        <w:tc>
          <w:tcPr>
            <w:tcW w:w="2756" w:type="dxa"/>
            <w:shd w:val="clear" w:color="auto" w:fill="auto"/>
            <w:vAlign w:val="center"/>
          </w:tcPr>
          <w:p w:rsidRPr="007E54DC" w:rsidR="009670C4" w:rsidP="00802E75" w:rsidRDefault="009670C4" w14:paraId="0A3CEA57"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Moderate risk</w:t>
            </w:r>
          </w:p>
        </w:tc>
      </w:tr>
      <w:tr w:rsidRPr="007E54DC" w:rsidR="009670C4" w:rsidTr="009670C4" w14:paraId="50A0ED5F" w14:textId="77777777">
        <w:trPr>
          <w:trHeight w:val="75"/>
        </w:trPr>
        <w:tc>
          <w:tcPr>
            <w:tcW w:w="1785" w:type="dxa"/>
            <w:shd w:val="clear" w:color="auto" w:fill="auto"/>
            <w:vAlign w:val="center"/>
          </w:tcPr>
          <w:p w:rsidRPr="007E54DC" w:rsidR="009670C4" w:rsidP="00802E75" w:rsidRDefault="009670C4" w14:paraId="5C9A8AFB"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MOPAN</w:t>
            </w:r>
          </w:p>
        </w:tc>
        <w:tc>
          <w:tcPr>
            <w:tcW w:w="1329" w:type="dxa"/>
            <w:shd w:val="clear" w:color="auto" w:fill="auto"/>
            <w:vAlign w:val="center"/>
          </w:tcPr>
          <w:p w:rsidRPr="007E54DC" w:rsidR="009670C4" w:rsidP="00802E75" w:rsidRDefault="009670C4" w14:paraId="2FD2B978"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2021</w:t>
            </w:r>
          </w:p>
        </w:tc>
        <w:tc>
          <w:tcPr>
            <w:tcW w:w="4048" w:type="dxa"/>
            <w:shd w:val="clear" w:color="auto" w:fill="auto"/>
          </w:tcPr>
          <w:p w:rsidRPr="007E54DC" w:rsidR="009670C4" w:rsidP="00802E75" w:rsidRDefault="009670C4" w14:paraId="4221F4DB" w14:textId="77777777">
            <w:pPr>
              <w:spacing w:after="0"/>
              <w:jc w:val="left"/>
              <w:rPr>
                <w:rFonts w:cstheme="minorHAnsi"/>
                <w:sz w:val="20"/>
                <w:szCs w:val="20"/>
              </w:rPr>
            </w:pPr>
            <w:r w:rsidRPr="007E54DC">
              <w:rPr>
                <w:rFonts w:cstheme="minorHAnsi"/>
                <w:sz w:val="20"/>
                <w:szCs w:val="20"/>
              </w:rPr>
              <w:t xml:space="preserve">UNDP has handled the turbulent context of the recent years well. It fully aligned with the 2030 Development Agenda, played a constructive role in UN Reforms, and demonstrated great resilience and new dynamism in responding to the COVID-19 pandemic. </w:t>
            </w:r>
          </w:p>
          <w:p w:rsidRPr="007E54DC" w:rsidR="009670C4" w:rsidP="00802E75" w:rsidRDefault="009670C4" w14:paraId="2BBB3B3E" w14:textId="77777777">
            <w:pPr>
              <w:rPr>
                <w:rFonts w:eastAsia="Arial" w:cstheme="minorHAnsi"/>
                <w:sz w:val="20"/>
                <w:szCs w:val="20"/>
              </w:rPr>
            </w:pPr>
            <w:r w:rsidRPr="007E54DC">
              <w:rPr>
                <w:rFonts w:cstheme="minorHAnsi"/>
                <w:sz w:val="20"/>
                <w:szCs w:val="20"/>
              </w:rPr>
              <w:t xml:space="preserve">UNDP’s strong management systems, independent evaluation and oversight </w:t>
            </w:r>
            <w:r w:rsidRPr="007E54DC">
              <w:rPr>
                <w:rFonts w:cstheme="minorHAnsi"/>
                <w:sz w:val="20"/>
                <w:szCs w:val="20"/>
              </w:rPr>
              <w:t>functions and its transparent information disclosure have made it a trusted partner.</w:t>
            </w:r>
          </w:p>
        </w:tc>
        <w:tc>
          <w:tcPr>
            <w:tcW w:w="2756" w:type="dxa"/>
            <w:shd w:val="clear" w:color="auto" w:fill="auto"/>
            <w:vAlign w:val="center"/>
          </w:tcPr>
          <w:p w:rsidRPr="007E54DC" w:rsidR="009670C4" w:rsidP="00802E75" w:rsidRDefault="009670C4" w14:paraId="48DC9084"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 xml:space="preserve">Satisfactory performance </w:t>
            </w:r>
          </w:p>
        </w:tc>
      </w:tr>
      <w:tr w:rsidRPr="007E54DC" w:rsidR="009670C4" w:rsidTr="003A2C47" w14:paraId="67557675" w14:textId="77777777">
        <w:trPr>
          <w:trHeight w:val="75"/>
        </w:trPr>
        <w:tc>
          <w:tcPr>
            <w:tcW w:w="1785" w:type="dxa"/>
            <w:shd w:val="clear" w:color="auto" w:fill="auto"/>
            <w:vAlign w:val="center"/>
          </w:tcPr>
          <w:p w:rsidRPr="007E54DC" w:rsidR="009670C4" w:rsidP="00802E75" w:rsidRDefault="009670C4" w14:paraId="48BF320C" w14:textId="47C8AEE2">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 xml:space="preserve">Defra self-assessment at </w:t>
            </w:r>
            <w:r w:rsidRPr="007E54DC" w:rsidR="006A12C7">
              <w:rPr>
                <w:rFonts w:eastAsia="Arial" w:cstheme="minorHAnsi"/>
                <w:b/>
                <w:bCs/>
                <w:color w:val="000000" w:themeColor="text1"/>
                <w:sz w:val="20"/>
                <w:szCs w:val="20"/>
              </w:rPr>
              <w:t>GFCR fund</w:t>
            </w:r>
            <w:r w:rsidRPr="007E54DC">
              <w:rPr>
                <w:rFonts w:eastAsia="Arial" w:cstheme="minorHAnsi"/>
                <w:b/>
                <w:bCs/>
                <w:color w:val="000000" w:themeColor="text1"/>
                <w:sz w:val="20"/>
                <w:szCs w:val="20"/>
              </w:rPr>
              <w:t xml:space="preserve"> level </w:t>
            </w:r>
          </w:p>
        </w:tc>
        <w:tc>
          <w:tcPr>
            <w:tcW w:w="1329" w:type="dxa"/>
            <w:shd w:val="clear" w:color="auto" w:fill="auto"/>
            <w:vAlign w:val="center"/>
          </w:tcPr>
          <w:p w:rsidRPr="007E54DC" w:rsidR="009670C4" w:rsidP="00802E75" w:rsidRDefault="009670C4" w14:paraId="69EFDCB6"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2022</w:t>
            </w:r>
          </w:p>
        </w:tc>
        <w:tc>
          <w:tcPr>
            <w:tcW w:w="4048" w:type="dxa"/>
            <w:shd w:val="clear" w:color="auto" w:fill="auto"/>
          </w:tcPr>
          <w:p w:rsidRPr="007E54DC" w:rsidR="009670C4" w:rsidP="00802E75" w:rsidRDefault="009670C4" w14:paraId="31F3109A" w14:textId="4C1D66FA">
            <w:pPr>
              <w:rPr>
                <w:rFonts w:eastAsia="Arial" w:cstheme="minorHAnsi"/>
                <w:sz w:val="20"/>
                <w:szCs w:val="20"/>
              </w:rPr>
            </w:pPr>
            <w:r w:rsidRPr="007E54DC">
              <w:rPr>
                <w:rFonts w:eastAsia="Arial" w:cstheme="minorHAnsi"/>
                <w:sz w:val="20"/>
                <w:szCs w:val="20"/>
              </w:rPr>
              <w:t xml:space="preserve">The Defra programme team have worked with the ODA better delivery team to develop a self-assessment questionnaire for GFCR to complete.  This has been </w:t>
            </w:r>
            <w:r w:rsidRPr="007E54DC">
              <w:rPr>
                <w:rFonts w:eastAsia="Times New Roman" w:cstheme="minorHAnsi"/>
                <w:sz w:val="20"/>
                <w:szCs w:val="20"/>
              </w:rPr>
              <w:t xml:space="preserve">based on the FCDO’s 5 pillars of due diligence (governance and internal controls, ability to deliver, financial stability, downstream delivery, and safeguarding). </w:t>
            </w:r>
          </w:p>
        </w:tc>
        <w:tc>
          <w:tcPr>
            <w:tcW w:w="2756" w:type="dxa"/>
            <w:shd w:val="clear" w:color="auto" w:fill="auto"/>
            <w:vAlign w:val="center"/>
          </w:tcPr>
          <w:p w:rsidRPr="007E54DC" w:rsidR="009670C4" w:rsidP="00EE1CBB" w:rsidRDefault="009670C4" w14:paraId="54D0BFA8" w14:textId="133059A4">
            <w:pPr>
              <w:keepNext/>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TBC</w:t>
            </w:r>
            <w:r w:rsidRPr="007E54DC" w:rsidR="00D9156A">
              <w:rPr>
                <w:rFonts w:eastAsia="Arial" w:cstheme="minorHAnsi"/>
                <w:b/>
                <w:bCs/>
                <w:color w:val="000000" w:themeColor="text1"/>
                <w:sz w:val="20"/>
                <w:szCs w:val="20"/>
              </w:rPr>
              <w:t xml:space="preserve"> - </w:t>
            </w:r>
            <w:r w:rsidRPr="007E54DC" w:rsidR="00D9156A">
              <w:rPr>
                <w:rFonts w:eastAsia="Times New Roman" w:cstheme="minorHAnsi"/>
                <w:sz w:val="20"/>
                <w:szCs w:val="20"/>
              </w:rPr>
              <w:t>No issues are expected to be identified.</w:t>
            </w:r>
          </w:p>
        </w:tc>
      </w:tr>
    </w:tbl>
    <w:p w:rsidRPr="007E54DC" w:rsidR="00EE1CBB" w:rsidRDefault="00EE1CBB" w14:paraId="19D3A9A6" w14:textId="4C9937A2">
      <w:pPr>
        <w:pStyle w:val="Caption"/>
      </w:pPr>
      <w:bookmarkStart w:name="_Toc132104920" w:id="63"/>
      <w:r w:rsidRPr="007E54DC">
        <w:t xml:space="preserve">Table </w:t>
      </w:r>
      <w:r w:rsidRPr="007E54DC">
        <w:fldChar w:fldCharType="begin"/>
      </w:r>
      <w:r w:rsidRPr="007E54DC">
        <w:instrText>SEQ Table \* ARABIC</w:instrText>
      </w:r>
      <w:r w:rsidRPr="007E54DC">
        <w:fldChar w:fldCharType="separate"/>
      </w:r>
      <w:r w:rsidR="00B9356F">
        <w:rPr>
          <w:noProof/>
        </w:rPr>
        <w:t>10</w:t>
      </w:r>
      <w:r w:rsidRPr="007E54DC">
        <w:fldChar w:fldCharType="end"/>
      </w:r>
      <w:r w:rsidR="000473E7">
        <w:t>0</w:t>
      </w:r>
      <w:r w:rsidRPr="007E54DC">
        <w:rPr>
          <w:noProof/>
        </w:rPr>
        <w:t xml:space="preserve">  - Summary of Due Diligence Reviews for UNDP and the GFCR</w:t>
      </w:r>
      <w:bookmarkEnd w:id="63"/>
    </w:p>
    <w:p w:rsidRPr="007E54DC" w:rsidR="009B6DE7" w:rsidP="00896619" w:rsidRDefault="001734FE" w14:paraId="674164CC" w14:textId="43876A87">
      <w:pPr>
        <w:spacing w:after="160"/>
        <w:rPr>
          <w:rFonts w:eastAsiaTheme="minorEastAsia"/>
          <w:color w:val="000000" w:themeColor="text1"/>
        </w:rPr>
      </w:pPr>
      <w:r w:rsidRPr="007E54DC">
        <w:rPr>
          <w:rFonts w:eastAsiaTheme="minorEastAsia"/>
          <w:color w:val="000000" w:themeColor="text1"/>
        </w:rPr>
        <w:t>Downstream, t</w:t>
      </w:r>
      <w:r w:rsidRPr="007E54DC" w:rsidR="2214B0F6">
        <w:rPr>
          <w:rFonts w:eastAsiaTheme="minorEastAsia"/>
          <w:color w:val="000000" w:themeColor="text1"/>
        </w:rPr>
        <w:t>he GFCR has its own due diligence structures in place which deal with delivery</w:t>
      </w:r>
      <w:r w:rsidRPr="007E54DC">
        <w:rPr>
          <w:rFonts w:eastAsiaTheme="minorEastAsia"/>
          <w:color w:val="000000" w:themeColor="text1"/>
        </w:rPr>
        <w:t xml:space="preserve"> by </w:t>
      </w:r>
      <w:r w:rsidRPr="007E54DC" w:rsidR="2214B0F6">
        <w:rPr>
          <w:rFonts w:eastAsiaTheme="minorEastAsia"/>
          <w:color w:val="000000" w:themeColor="text1"/>
        </w:rPr>
        <w:t xml:space="preserve">implementing partners for the </w:t>
      </w:r>
      <w:r w:rsidRPr="007E54DC">
        <w:rPr>
          <w:rFonts w:eastAsiaTheme="minorEastAsia"/>
          <w:color w:val="000000" w:themeColor="text1"/>
        </w:rPr>
        <w:t>G</w:t>
      </w:r>
      <w:r w:rsidRPr="007E54DC" w:rsidR="2214B0F6">
        <w:rPr>
          <w:rFonts w:eastAsiaTheme="minorEastAsia"/>
          <w:color w:val="000000" w:themeColor="text1"/>
        </w:rPr>
        <w:t>rant</w:t>
      </w:r>
      <w:r w:rsidRPr="007E54DC" w:rsidR="241E0D83">
        <w:rPr>
          <w:rFonts w:eastAsiaTheme="minorEastAsia"/>
          <w:color w:val="000000" w:themeColor="text1"/>
        </w:rPr>
        <w:t xml:space="preserve"> </w:t>
      </w:r>
      <w:r w:rsidRPr="007E54DC">
        <w:rPr>
          <w:rFonts w:eastAsiaTheme="minorEastAsia"/>
          <w:color w:val="000000" w:themeColor="text1"/>
        </w:rPr>
        <w:t>F</w:t>
      </w:r>
      <w:r w:rsidRPr="007E54DC" w:rsidR="241E0D83">
        <w:rPr>
          <w:rFonts w:eastAsiaTheme="minorEastAsia"/>
          <w:color w:val="000000" w:themeColor="text1"/>
        </w:rPr>
        <w:t>und.</w:t>
      </w:r>
      <w:r w:rsidRPr="007E54DC">
        <w:rPr>
          <w:rFonts w:eastAsiaTheme="minorEastAsia"/>
          <w:color w:val="000000" w:themeColor="text1"/>
        </w:rPr>
        <w:t xml:space="preserve"> This process considers operational and financial integrity and does so before proposals are submitted to the EB for approval. This minimises risk and maximises the chances of proposals being submitted by organisations and consortia that have strong systems and processes in place.</w:t>
      </w:r>
    </w:p>
    <w:p w:rsidRPr="007E54DC" w:rsidR="000D18C3" w:rsidP="000D18C3" w:rsidRDefault="000D18C3" w14:paraId="6B12651F" w14:textId="77777777">
      <w:r w:rsidRPr="007E54DC">
        <w:t xml:space="preserve">Funding will continue to comply with the following 3 regimes with regards to UK domestic subsidy: </w:t>
      </w:r>
    </w:p>
    <w:p w:rsidRPr="007E54DC" w:rsidR="000D18C3" w:rsidP="006628DE" w:rsidRDefault="000D18C3" w14:paraId="3BBE4635" w14:textId="77777777">
      <w:pPr>
        <w:pStyle w:val="ListParagraph"/>
        <w:numPr>
          <w:ilvl w:val="0"/>
          <w:numId w:val="21"/>
        </w:numPr>
      </w:pPr>
      <w:r w:rsidRPr="007E54DC">
        <w:t xml:space="preserve">World Trade Organisation (Agreement on Agriculture) </w:t>
      </w:r>
    </w:p>
    <w:p w:rsidRPr="007E54DC" w:rsidR="000D18C3" w:rsidP="006628DE" w:rsidRDefault="000D18C3" w14:paraId="0D98211F" w14:textId="77777777">
      <w:pPr>
        <w:pStyle w:val="ListParagraph"/>
        <w:numPr>
          <w:ilvl w:val="0"/>
          <w:numId w:val="21"/>
        </w:numPr>
      </w:pPr>
      <w:r w:rsidRPr="007E54DC">
        <w:t>New subsidy controls under the EU-UK Trade and Cooperation Agreement (Chapter 3)</w:t>
      </w:r>
    </w:p>
    <w:p w:rsidRPr="007E54DC" w:rsidR="000D18C3" w:rsidP="006628DE" w:rsidRDefault="000D18C3" w14:paraId="1AA3A9B0" w14:textId="4C2CCD45">
      <w:pPr>
        <w:pStyle w:val="ListParagraph"/>
        <w:numPr>
          <w:ilvl w:val="0"/>
          <w:numId w:val="21"/>
        </w:numPr>
      </w:pPr>
      <w:r w:rsidRPr="007E54DC">
        <w:t>Northern Ireland Protocol Art 10</w:t>
      </w:r>
    </w:p>
    <w:p w:rsidRPr="007E54DC" w:rsidR="00C31C47" w:rsidP="0022760D" w:rsidRDefault="00383C21" w14:paraId="77889ADE" w14:textId="694595A0" w14:noSpellErr="1">
      <w:pPr>
        <w:pStyle w:val="Heading2"/>
        <w:rPr/>
      </w:pPr>
      <w:bookmarkStart w:name="_Toc2091330735" w:id="778405056"/>
      <w:r w:rsidR="00383C21">
        <w:rPr/>
        <w:t xml:space="preserve">Section 4.5: </w:t>
      </w:r>
      <w:r w:rsidR="00C31C47">
        <w:rPr/>
        <w:t>Management Case</w:t>
      </w:r>
      <w:bookmarkEnd w:id="778405056"/>
    </w:p>
    <w:p w:rsidRPr="007E54DC" w:rsidR="00FB4F9A" w:rsidP="00C92CBA" w:rsidRDefault="5D30A3DD" w14:paraId="5ACA76E9" w14:textId="51D7EFC7">
      <w:r w:rsidRPr="007E54DC">
        <w:rPr>
          <w:b/>
          <w:bCs/>
        </w:rPr>
        <w:t xml:space="preserve">Since the original Business Case, the </w:t>
      </w:r>
      <w:r w:rsidRPr="007E54DC" w:rsidR="159DDB81">
        <w:rPr>
          <w:b/>
          <w:bCs/>
        </w:rPr>
        <w:t xml:space="preserve">GFCR </w:t>
      </w:r>
      <w:r w:rsidRPr="007E54DC">
        <w:rPr>
          <w:b/>
          <w:bCs/>
        </w:rPr>
        <w:t xml:space="preserve">have </w:t>
      </w:r>
      <w:r w:rsidRPr="007E54DC" w:rsidR="159DDB81">
        <w:rPr>
          <w:b/>
          <w:bCs/>
        </w:rPr>
        <w:t>develop</w:t>
      </w:r>
      <w:r w:rsidRPr="007E54DC">
        <w:rPr>
          <w:b/>
          <w:bCs/>
        </w:rPr>
        <w:t>ed</w:t>
      </w:r>
      <w:r w:rsidRPr="007E54DC" w:rsidR="159DDB81">
        <w:rPr>
          <w:b/>
          <w:bCs/>
        </w:rPr>
        <w:t xml:space="preserve"> a draft M&amp;E strategy</w:t>
      </w:r>
      <w:r w:rsidRPr="007E54DC" w:rsidR="005A13A1">
        <w:rPr>
          <w:b/>
          <w:bCs/>
        </w:rPr>
        <w:t xml:space="preserve"> and toolkit</w:t>
      </w:r>
      <w:r w:rsidRPr="007E54DC" w:rsidR="159DDB81">
        <w:rPr>
          <w:b/>
          <w:bCs/>
        </w:rPr>
        <w:t xml:space="preserve">, </w:t>
      </w:r>
      <w:proofErr w:type="spellStart"/>
      <w:r w:rsidRPr="007E54DC" w:rsidR="00952594">
        <w:rPr>
          <w:b/>
          <w:bCs/>
        </w:rPr>
        <w:t>LogFrame</w:t>
      </w:r>
      <w:proofErr w:type="spellEnd"/>
      <w:r w:rsidRPr="007E54DC" w:rsidR="005A13A1">
        <w:rPr>
          <w:b/>
          <w:bCs/>
        </w:rPr>
        <w:t xml:space="preserve"> and </w:t>
      </w:r>
      <w:r w:rsidRPr="007E54DC" w:rsidR="159DDB81">
        <w:rPr>
          <w:b/>
          <w:bCs/>
        </w:rPr>
        <w:t xml:space="preserve">performance indicators. </w:t>
      </w:r>
      <w:r w:rsidRPr="007E54DC" w:rsidR="159DDB81">
        <w:t xml:space="preserve">Each of these products is </w:t>
      </w:r>
      <w:r w:rsidRPr="007E54DC">
        <w:t xml:space="preserve">currently </w:t>
      </w:r>
      <w:r w:rsidRPr="007E54DC" w:rsidR="159DDB81">
        <w:t>being revised</w:t>
      </w:r>
      <w:r w:rsidRPr="007E54DC">
        <w:t xml:space="preserve"> and finalised</w:t>
      </w:r>
      <w:r w:rsidRPr="007E54DC" w:rsidR="159DDB81">
        <w:t>, integrating feedback from Defra.</w:t>
      </w:r>
    </w:p>
    <w:p w:rsidRPr="007E54DC" w:rsidR="00886E29" w:rsidP="00C92CBA" w:rsidRDefault="00886E29" w14:paraId="6A9EFE67" w14:textId="5239BCFF">
      <w:pPr>
        <w:rPr>
          <w:color w:val="000000"/>
          <w:shd w:val="clear" w:color="auto" w:fill="FFFFFF"/>
        </w:rPr>
      </w:pPr>
      <w:r w:rsidRPr="007E54DC">
        <w:rPr>
          <w:color w:val="000000" w:themeColor="text1"/>
        </w:rPr>
        <w:t>Stakeholder engagement and communication on Defra’s part will be</w:t>
      </w:r>
      <w:r w:rsidRPr="007E54DC" w:rsidR="00835775">
        <w:rPr>
          <w:color w:val="000000" w:themeColor="text1"/>
        </w:rPr>
        <w:t xml:space="preserve"> implemented as described above in section 3.2.</w:t>
      </w:r>
      <w:r w:rsidRPr="007E54DC">
        <w:rPr>
          <w:color w:val="000000" w:themeColor="text1"/>
        </w:rPr>
        <w:t xml:space="preserve"> </w:t>
      </w:r>
      <w:r w:rsidRPr="007E54DC" w:rsidR="006D766B">
        <w:rPr>
          <w:color w:val="000000" w:themeColor="text1"/>
        </w:rPr>
        <w:t>Internal s</w:t>
      </w:r>
      <w:r w:rsidRPr="007E54DC">
        <w:rPr>
          <w:color w:val="000000" w:themeColor="text1"/>
        </w:rPr>
        <w:t xml:space="preserve">takeholder engagement will </w:t>
      </w:r>
      <w:r w:rsidRPr="007E54DC" w:rsidR="006D766B">
        <w:rPr>
          <w:color w:val="000000" w:themeColor="text1"/>
        </w:rPr>
        <w:t xml:space="preserve">also </w:t>
      </w:r>
      <w:r w:rsidRPr="007E54DC">
        <w:rPr>
          <w:color w:val="000000" w:themeColor="text1"/>
        </w:rPr>
        <w:t xml:space="preserve">continue to be monitored as part of the investment’s overall approach to programme </w:t>
      </w:r>
      <w:r w:rsidRPr="007E54DC" w:rsidR="006D766B">
        <w:rPr>
          <w:color w:val="000000" w:themeColor="text1"/>
        </w:rPr>
        <w:t xml:space="preserve">and portfolio fit </w:t>
      </w:r>
      <w:r w:rsidRPr="007E54DC">
        <w:rPr>
          <w:color w:val="000000" w:themeColor="text1"/>
        </w:rPr>
        <w:t>management</w:t>
      </w:r>
      <w:r w:rsidRPr="007E54DC" w:rsidR="006D766B">
        <w:rPr>
          <w:color w:val="000000" w:themeColor="text1"/>
        </w:rPr>
        <w:t xml:space="preserve"> (see </w:t>
      </w:r>
      <w:r w:rsidRPr="007E54DC" w:rsidR="00866011">
        <w:rPr>
          <w:color w:val="000000" w:themeColor="text1"/>
        </w:rPr>
        <w:t>A</w:t>
      </w:r>
      <w:r w:rsidRPr="007E54DC" w:rsidR="006D766B">
        <w:rPr>
          <w:color w:val="000000" w:themeColor="text1"/>
        </w:rPr>
        <w:t xml:space="preserve">nnex </w:t>
      </w:r>
      <w:r w:rsidRPr="007E54DC" w:rsidR="00CB2B7A">
        <w:rPr>
          <w:color w:val="000000" w:themeColor="text1"/>
        </w:rPr>
        <w:t>C</w:t>
      </w:r>
      <w:r w:rsidRPr="007E54DC" w:rsidR="006D766B">
        <w:rPr>
          <w:color w:val="000000" w:themeColor="text1"/>
        </w:rPr>
        <w:t>)</w:t>
      </w:r>
      <w:r w:rsidRPr="007E54DC">
        <w:rPr>
          <w:color w:val="000000" w:themeColor="text1"/>
        </w:rPr>
        <w:t>.</w:t>
      </w:r>
      <w:r w:rsidRPr="007E54DC" w:rsidR="006D766B">
        <w:rPr>
          <w:color w:val="000000" w:themeColor="text1"/>
        </w:rPr>
        <w:t xml:space="preserve"> This occurs through informal lines of communication with FCDO as well as through the formal governance arrangements.</w:t>
      </w:r>
    </w:p>
    <w:p w:rsidRPr="007E54DC" w:rsidR="00F82A3A" w:rsidP="00D109F0" w:rsidRDefault="00C92F1F" w14:paraId="2D27534B" w14:textId="47637A2D" w14:noSpellErr="1">
      <w:pPr>
        <w:pStyle w:val="Heading3"/>
        <w:rPr/>
      </w:pPr>
      <w:bookmarkStart w:name="_Toc1918717505" w:id="230744740"/>
      <w:r w:rsidR="00C92F1F">
        <w:rPr/>
        <w:t>Risk management</w:t>
      </w:r>
      <w:bookmarkEnd w:id="230744740"/>
    </w:p>
    <w:p w:rsidRPr="007E54DC" w:rsidR="00FE5423" w:rsidP="00C92CBA" w:rsidRDefault="00FE5423" w14:paraId="49D66E41" w14:textId="796BE4F5">
      <w:r w:rsidRPr="007E54DC">
        <w:t xml:space="preserve">In terms of risk management, a Defra BPF Portfolio RAID </w:t>
      </w:r>
      <w:r w:rsidRPr="007E54DC" w:rsidR="00C13349">
        <w:t>L</w:t>
      </w:r>
      <w:r w:rsidRPr="007E54DC">
        <w:t xml:space="preserve">og </w:t>
      </w:r>
      <w:r w:rsidRPr="007E54DC" w:rsidR="003832B5">
        <w:t>has been</w:t>
      </w:r>
      <w:r w:rsidRPr="007E54DC">
        <w:t xml:space="preserve"> developed for all programmes</w:t>
      </w:r>
      <w:r w:rsidRPr="007E54DC" w:rsidR="00A455FA">
        <w:t xml:space="preserve"> </w:t>
      </w:r>
      <w:r w:rsidRPr="007E54DC">
        <w:t xml:space="preserve">within the BPF, including GFCR. The purpose of this RAID log is to capture all relevant RAID (Risks, Assumptions, Issues &amp; Dependencies) in a single, centralised location. This log will be managed by the Project Management Office (PMO) within </w:t>
      </w:r>
      <w:r w:rsidRPr="007E54DC" w:rsidR="00A455FA">
        <w:t xml:space="preserve">Defra’s </w:t>
      </w:r>
      <w:r w:rsidRPr="007E54DC">
        <w:t>I</w:t>
      </w:r>
      <w:r w:rsidRPr="007E54DC" w:rsidR="00A455FA">
        <w:t xml:space="preserve">nternational </w:t>
      </w:r>
      <w:r w:rsidRPr="007E54DC">
        <w:t>S</w:t>
      </w:r>
      <w:r w:rsidRPr="007E54DC" w:rsidR="00A455FA">
        <w:t xml:space="preserve">ustainable </w:t>
      </w:r>
      <w:r w:rsidRPr="007E54DC">
        <w:t>B</w:t>
      </w:r>
      <w:r w:rsidRPr="007E54DC" w:rsidR="00A455FA">
        <w:t xml:space="preserve">lue </w:t>
      </w:r>
      <w:r w:rsidRPr="007E54DC">
        <w:t>F</w:t>
      </w:r>
      <w:r w:rsidRPr="007E54DC" w:rsidR="00A455FA">
        <w:t>inance team</w:t>
      </w:r>
      <w:r w:rsidRPr="007E54DC">
        <w:t xml:space="preserve"> and monitored regularly</w:t>
      </w:r>
      <w:r w:rsidRPr="007E54DC" w:rsidR="005A13A1">
        <w:t xml:space="preserve"> with check points during quarterly update meetings with the GFCR global team</w:t>
      </w:r>
      <w:r w:rsidRPr="007E54DC">
        <w:t>.</w:t>
      </w:r>
      <w:r w:rsidRPr="007E54DC" w:rsidR="00010B55">
        <w:t xml:space="preserve"> Risks will also be re-assessed during completion of the annual review process to ensure all risks are known and mitigated against; Defra and GFCR will be jointly responsible for this.   </w:t>
      </w:r>
    </w:p>
    <w:p w:rsidRPr="007E54DC" w:rsidR="00C92F1F" w:rsidP="00C92CBA" w:rsidRDefault="00010B55" w14:paraId="1D31E11C" w14:textId="500BF7C4">
      <w:r w:rsidRPr="007E54DC">
        <w:t>Furthermore, t</w:t>
      </w:r>
      <w:r w:rsidRPr="007E54DC" w:rsidR="00C92F1F">
        <w:t xml:space="preserve">he GFCR Risk Management System was finalised in early 2022 and helps to identify and mitigate programmatic, institutional, and contextual risks that might impact the Fund’s performance </w:t>
      </w:r>
      <w:r w:rsidRPr="007E54DC" w:rsidR="00C92F1F">
        <w:t>and reputation. An overview of Fund-level and programme-level risks</w:t>
      </w:r>
      <w:r w:rsidRPr="007E54DC" w:rsidR="00F82A3A">
        <w:t>, mitigations</w:t>
      </w:r>
      <w:r w:rsidRPr="007E54DC" w:rsidR="00C92F1F">
        <w:t xml:space="preserve"> and man</w:t>
      </w:r>
      <w:r w:rsidRPr="007E54DC">
        <w:t>a</w:t>
      </w:r>
      <w:r w:rsidRPr="007E54DC" w:rsidR="00C92F1F">
        <w:t xml:space="preserve">gers are provided in </w:t>
      </w:r>
      <w:r w:rsidRPr="007E54DC" w:rsidR="00EE1CBB">
        <w:t>Ta</w:t>
      </w:r>
      <w:r w:rsidRPr="007E54DC" w:rsidR="00C92F1F">
        <w:t xml:space="preserve">ble </w:t>
      </w:r>
      <w:r w:rsidRPr="007E54DC" w:rsidR="00EE1CBB">
        <w:t>1</w:t>
      </w:r>
      <w:r w:rsidR="000473E7">
        <w:t>1</w:t>
      </w:r>
      <w:r w:rsidRPr="007E54DC" w:rsidR="00EE1CBB">
        <w:t xml:space="preserve"> </w:t>
      </w:r>
      <w:r w:rsidRPr="007E54DC" w:rsidR="00C92F1F">
        <w:t>below.</w:t>
      </w:r>
    </w:p>
    <w:tbl>
      <w:tblPr>
        <w:tblStyle w:val="GridTable1Light-Accent1"/>
        <w:tblW w:w="5795" w:type="pct"/>
        <w:jc w:val="center"/>
        <w:tblLook w:val="04A0" w:firstRow="1" w:lastRow="0" w:firstColumn="1" w:lastColumn="0" w:noHBand="0" w:noVBand="1"/>
      </w:tblPr>
      <w:tblGrid>
        <w:gridCol w:w="2017"/>
        <w:gridCol w:w="1894"/>
        <w:gridCol w:w="1398"/>
        <w:gridCol w:w="3459"/>
        <w:gridCol w:w="1682"/>
      </w:tblGrid>
      <w:tr w:rsidRPr="007E54DC" w:rsidR="00C92F1F" w:rsidTr="23A59346" w14:paraId="7DA34F64" w14:textId="77777777">
        <w:trPr>
          <w:cnfStyle w:val="100000000000" w:firstRow="1" w:lastRow="0" w:firstColumn="0" w:lastColumn="0" w:oddVBand="0" w:evenVBand="0" w:oddHBand="0" w:evenHBand="0" w:firstRowFirstColumn="0" w:firstRowLastColumn="0" w:lastRowFirstColumn="0" w:lastRowLastColumn="0"/>
          <w:trHeight w:val="7"/>
          <w:tblHeader/>
          <w:jc w:val="center"/>
        </w:trPr>
        <w:tc>
          <w:tcPr>
            <w:cnfStyle w:val="001000000000" w:firstRow="0" w:lastRow="0" w:firstColumn="1" w:lastColumn="0" w:oddVBand="0" w:evenVBand="0" w:oddHBand="0" w:evenHBand="0" w:firstRowFirstColumn="0" w:firstRowLastColumn="0" w:lastRowFirstColumn="0" w:lastRowLastColumn="0"/>
            <w:tcW w:w="965" w:type="pct"/>
            <w:shd w:val="clear" w:color="auto" w:fill="4472C4" w:themeFill="accent1"/>
          </w:tcPr>
          <w:p w:rsidRPr="007E54DC" w:rsidR="00C92F1F" w:rsidP="00C92F1F" w:rsidRDefault="00C92F1F" w14:paraId="33905D04" w14:textId="77777777">
            <w:pPr>
              <w:spacing w:before="100" w:beforeAutospacing="1" w:after="100" w:afterAutospacing="1" w:line="240" w:lineRule="auto"/>
              <w:jc w:val="center"/>
              <w:rPr>
                <w:rFonts w:eastAsia="Times New Roman" w:cstheme="minorHAnsi"/>
                <w:color w:val="FFFFFF" w:themeColor="background1"/>
                <w:sz w:val="18"/>
                <w:szCs w:val="18"/>
                <w:lang w:eastAsia="en-GB"/>
              </w:rPr>
            </w:pPr>
            <w:r w:rsidRPr="007E54DC">
              <w:rPr>
                <w:rFonts w:eastAsia="Times New Roman" w:cstheme="minorHAnsi"/>
                <w:color w:val="FFFFFF" w:themeColor="background1"/>
                <w:sz w:val="18"/>
                <w:szCs w:val="18"/>
                <w:lang w:eastAsia="en-GB"/>
              </w:rPr>
              <w:t>EVENT</w:t>
            </w:r>
          </w:p>
        </w:tc>
        <w:tc>
          <w:tcPr>
            <w:tcW w:w="906" w:type="pct"/>
            <w:shd w:val="clear" w:color="auto" w:fill="4472C4" w:themeFill="accent1"/>
          </w:tcPr>
          <w:p w:rsidRPr="007E54DC" w:rsidR="00C92F1F" w:rsidP="00C92F1F" w:rsidRDefault="00C92F1F" w14:paraId="444D2B82" w14:textId="77777777">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lang w:eastAsia="en-GB"/>
              </w:rPr>
            </w:pPr>
            <w:r w:rsidRPr="007E54DC">
              <w:rPr>
                <w:rFonts w:eastAsia="Times New Roman" w:cstheme="minorHAnsi"/>
                <w:color w:val="FFFFFF" w:themeColor="background1"/>
                <w:sz w:val="18"/>
                <w:szCs w:val="18"/>
                <w:lang w:eastAsia="en-GB"/>
              </w:rPr>
              <w:t>IMPACT</w:t>
            </w:r>
          </w:p>
        </w:tc>
        <w:tc>
          <w:tcPr>
            <w:tcW w:w="669" w:type="pct"/>
            <w:shd w:val="clear" w:color="auto" w:fill="4472C4" w:themeFill="accent1"/>
          </w:tcPr>
          <w:p w:rsidRPr="007E54DC" w:rsidR="00C92F1F" w:rsidP="00C92F1F" w:rsidRDefault="00C92F1F" w14:paraId="71549B40" w14:textId="77777777">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lang w:eastAsia="en-GB"/>
              </w:rPr>
            </w:pPr>
            <w:r w:rsidRPr="007E54DC">
              <w:rPr>
                <w:rFonts w:eastAsia="Times New Roman" w:cstheme="minorHAnsi"/>
                <w:color w:val="FFFFFF" w:themeColor="background1"/>
                <w:sz w:val="18"/>
                <w:szCs w:val="18"/>
                <w:lang w:eastAsia="en-GB"/>
              </w:rPr>
              <w:t>RISK LEVEL</w:t>
            </w:r>
          </w:p>
        </w:tc>
        <w:tc>
          <w:tcPr>
            <w:tcW w:w="1655" w:type="pct"/>
            <w:shd w:val="clear" w:color="auto" w:fill="4472C4" w:themeFill="accent1"/>
          </w:tcPr>
          <w:p w:rsidRPr="007E54DC" w:rsidR="00C92F1F" w:rsidP="00C92F1F" w:rsidRDefault="00C92F1F" w14:paraId="55D4D3A5" w14:textId="77777777">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lang w:eastAsia="en-GB"/>
              </w:rPr>
            </w:pPr>
            <w:r w:rsidRPr="007E54DC">
              <w:rPr>
                <w:rFonts w:eastAsia="Times New Roman" w:cstheme="minorHAnsi"/>
                <w:color w:val="FFFFFF" w:themeColor="background1"/>
                <w:sz w:val="18"/>
                <w:szCs w:val="18"/>
                <w:lang w:eastAsia="en-GB"/>
              </w:rPr>
              <w:t>MITIGATION</w:t>
            </w:r>
          </w:p>
        </w:tc>
        <w:tc>
          <w:tcPr>
            <w:tcW w:w="805" w:type="pct"/>
            <w:shd w:val="clear" w:color="auto" w:fill="4472C4" w:themeFill="accent1"/>
          </w:tcPr>
          <w:p w:rsidRPr="007E54DC" w:rsidR="00C92F1F" w:rsidP="00C92F1F" w:rsidRDefault="00C92F1F" w14:paraId="60C84246" w14:textId="77777777">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lang w:eastAsia="en-GB"/>
              </w:rPr>
            </w:pPr>
            <w:r w:rsidRPr="007E54DC">
              <w:rPr>
                <w:rFonts w:eastAsia="Times New Roman" w:cstheme="minorHAnsi"/>
                <w:color w:val="FFFFFF" w:themeColor="background1"/>
                <w:sz w:val="18"/>
                <w:szCs w:val="18"/>
                <w:lang w:eastAsia="en-GB"/>
              </w:rPr>
              <w:t>RISK OWNER</w:t>
            </w:r>
          </w:p>
        </w:tc>
      </w:tr>
      <w:tr w:rsidRPr="007E54DC" w:rsidR="00C92F1F" w:rsidTr="23A59346" w14:paraId="0582D79A" w14:textId="77777777">
        <w:trPr>
          <w:trHeight w:val="1196"/>
          <w:jc w:val="center"/>
        </w:trPr>
        <w:tc>
          <w:tcPr>
            <w:cnfStyle w:val="001000000000" w:firstRow="0" w:lastRow="0" w:firstColumn="1" w:lastColumn="0" w:oddVBand="0" w:evenVBand="0" w:oddHBand="0" w:evenHBand="0" w:firstRowFirstColumn="0" w:firstRowLastColumn="0" w:lastRowFirstColumn="0" w:lastRowLastColumn="0"/>
            <w:tcW w:w="965" w:type="pct"/>
          </w:tcPr>
          <w:p w:rsidRPr="007E54DC" w:rsidR="00C92F1F" w:rsidP="00C92F1F" w:rsidRDefault="00C92F1F" w14:paraId="4749C4D3" w14:textId="77777777">
            <w:pPr>
              <w:spacing w:before="100" w:beforeAutospacing="1" w:after="100" w:afterAutospacing="1" w:line="240" w:lineRule="auto"/>
              <w:jc w:val="left"/>
              <w:rPr>
                <w:rFonts w:eastAsia="Times New Roman" w:cstheme="minorHAnsi"/>
                <w:sz w:val="18"/>
                <w:szCs w:val="18"/>
                <w:lang w:eastAsia="en-GB"/>
              </w:rPr>
            </w:pPr>
            <w:r w:rsidRPr="007E54DC">
              <w:rPr>
                <w:rFonts w:eastAsia="Times New Roman" w:cstheme="minorHAnsi"/>
                <w:sz w:val="18"/>
                <w:szCs w:val="18"/>
                <w:lang w:eastAsia="en-GB"/>
              </w:rPr>
              <w:t xml:space="preserve">Disconnected vision / programming efforts between GFCR Grant and Equity Funds </w:t>
            </w:r>
          </w:p>
        </w:tc>
        <w:tc>
          <w:tcPr>
            <w:tcW w:w="906" w:type="pct"/>
          </w:tcPr>
          <w:p w:rsidRPr="007E54DC" w:rsidR="00C92F1F" w:rsidP="00C92F1F" w:rsidRDefault="00C92F1F" w14:paraId="7410AC90"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Sub-optimal programmatic impact and minimised economies of scale</w:t>
            </w:r>
          </w:p>
        </w:tc>
        <w:tc>
          <w:tcPr>
            <w:tcW w:w="669" w:type="pct"/>
            <w:shd w:val="clear" w:color="auto" w:fill="FFC000" w:themeFill="accent4"/>
          </w:tcPr>
          <w:p w:rsidRPr="007E54DC" w:rsidR="00C92F1F" w:rsidP="00C92F1F" w:rsidRDefault="00C92F1F" w14:paraId="5C8D6BC5"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Likelihood (1-5 scale): 2</w:t>
            </w:r>
          </w:p>
          <w:p w:rsidRPr="007E54DC" w:rsidR="00C92F1F" w:rsidP="00C92F1F" w:rsidRDefault="00C92F1F" w14:paraId="386C3A23"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Impact (1-5 scale): 3</w:t>
            </w:r>
          </w:p>
          <w:p w:rsidRPr="007E54DC" w:rsidR="00C92F1F" w:rsidP="00C92F1F" w:rsidRDefault="00C92F1F" w14:paraId="2AFF14D4"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en-GB"/>
              </w:rPr>
            </w:pPr>
          </w:p>
          <w:p w:rsidRPr="007E54DC" w:rsidR="00C92F1F" w:rsidP="00C92F1F" w:rsidRDefault="00C92F1F" w14:paraId="16CEC0C4"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b/>
                <w:bCs/>
                <w:sz w:val="18"/>
                <w:szCs w:val="18"/>
                <w:lang w:eastAsia="en-GB"/>
              </w:rPr>
              <w:t>Risk level:</w:t>
            </w:r>
            <w:r w:rsidRPr="007E54DC">
              <w:rPr>
                <w:rFonts w:eastAsia="Times New Roman" w:cstheme="minorHAnsi"/>
                <w:sz w:val="18"/>
                <w:szCs w:val="18"/>
                <w:lang w:eastAsia="en-GB"/>
              </w:rPr>
              <w:t xml:space="preserve"> Moderate</w:t>
            </w:r>
          </w:p>
        </w:tc>
        <w:tc>
          <w:tcPr>
            <w:tcW w:w="1655" w:type="pct"/>
          </w:tcPr>
          <w:p w:rsidRPr="007E54DC" w:rsidR="00C92F1F" w:rsidP="23A59346" w:rsidRDefault="35C768B3" w14:paraId="14C5D814" w14:textId="522B5919">
            <w:pPr>
              <w:numPr>
                <w:ilvl w:val="0"/>
                <w:numId w:val="29"/>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GB"/>
              </w:rPr>
            </w:pPr>
            <w:r w:rsidRPr="007E54DC">
              <w:rPr>
                <w:rFonts w:eastAsia="Times New Roman"/>
                <w:sz w:val="18"/>
                <w:szCs w:val="18"/>
                <w:lang w:eastAsia="en-GB"/>
              </w:rPr>
              <w:t xml:space="preserve">Setting up of a unified GFCR Knowledge Management platform </w:t>
            </w:r>
            <w:r w:rsidRPr="007E54DC" w:rsidR="01D36645">
              <w:rPr>
                <w:rFonts w:eastAsia="Times New Roman"/>
                <w:sz w:val="18"/>
                <w:szCs w:val="18"/>
                <w:lang w:eastAsia="en-GB"/>
              </w:rPr>
              <w:t>(Reef+)</w:t>
            </w:r>
            <w:r w:rsidRPr="007E54DC">
              <w:rPr>
                <w:rFonts w:eastAsia="Times New Roman"/>
                <w:sz w:val="18"/>
                <w:szCs w:val="18"/>
                <w:lang w:eastAsia="en-GB"/>
              </w:rPr>
              <w:t>to facilitate continued knowledge sharing across Grant and Investment Fund-supported initiatives</w:t>
            </w:r>
          </w:p>
          <w:p w:rsidRPr="007E54DC" w:rsidR="00C92F1F" w:rsidP="006628DE" w:rsidRDefault="00C92F1F" w14:paraId="04FF2593" w14:textId="77777777">
            <w:pPr>
              <w:numPr>
                <w:ilvl w:val="0"/>
                <w:numId w:val="29"/>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Continued consultation and strategic discussions between both GFCR Funds through the formal establishment of the Investment Fund team</w:t>
            </w:r>
          </w:p>
        </w:tc>
        <w:tc>
          <w:tcPr>
            <w:tcW w:w="805" w:type="pct"/>
          </w:tcPr>
          <w:p w:rsidRPr="007E54DC" w:rsidR="00C92F1F" w:rsidP="00C92F1F" w:rsidRDefault="00C92F1F" w14:paraId="4B51359E"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GFCR Grant &amp; Investment Funds</w:t>
            </w:r>
          </w:p>
        </w:tc>
      </w:tr>
      <w:tr w:rsidRPr="007E54DC" w:rsidR="00C92F1F" w:rsidTr="23A59346" w14:paraId="01F81C1E" w14:textId="77777777">
        <w:trPr>
          <w:trHeight w:val="807"/>
          <w:jc w:val="center"/>
        </w:trPr>
        <w:tc>
          <w:tcPr>
            <w:cnfStyle w:val="001000000000" w:firstRow="0" w:lastRow="0" w:firstColumn="1" w:lastColumn="0" w:oddVBand="0" w:evenVBand="0" w:oddHBand="0" w:evenHBand="0" w:firstRowFirstColumn="0" w:firstRowLastColumn="0" w:lastRowFirstColumn="0" w:lastRowLastColumn="0"/>
            <w:tcW w:w="965" w:type="pct"/>
          </w:tcPr>
          <w:p w:rsidRPr="007E54DC" w:rsidR="00C92F1F" w:rsidP="00C92F1F" w:rsidRDefault="00C92F1F" w14:paraId="0795E353" w14:textId="77777777">
            <w:pPr>
              <w:spacing w:before="100" w:beforeAutospacing="1" w:after="100" w:afterAutospacing="1" w:line="240" w:lineRule="auto"/>
              <w:jc w:val="left"/>
              <w:rPr>
                <w:rFonts w:eastAsia="Times New Roman" w:cstheme="minorHAnsi"/>
                <w:sz w:val="18"/>
                <w:szCs w:val="18"/>
                <w:lang w:eastAsia="en-GB"/>
              </w:rPr>
            </w:pPr>
            <w:r w:rsidRPr="007E54DC">
              <w:rPr>
                <w:rFonts w:eastAsia="Times New Roman" w:cstheme="minorHAnsi"/>
                <w:sz w:val="18"/>
                <w:szCs w:val="18"/>
                <w:lang w:eastAsia="en-GB"/>
              </w:rPr>
              <w:t>Exclusion of specialised local and technical knowledge in Grant Fund and Investment Fund strategic-setting and decision-making</w:t>
            </w:r>
          </w:p>
        </w:tc>
        <w:tc>
          <w:tcPr>
            <w:tcW w:w="906" w:type="pct"/>
          </w:tcPr>
          <w:p w:rsidRPr="007E54DC" w:rsidR="00C92F1F" w:rsidP="00C92F1F" w:rsidRDefault="00C92F1F" w14:paraId="1C3E995B"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Ineffective implementation of programmes and allocation of funding</w:t>
            </w:r>
          </w:p>
        </w:tc>
        <w:tc>
          <w:tcPr>
            <w:tcW w:w="669" w:type="pct"/>
            <w:shd w:val="clear" w:color="auto" w:fill="A8D08D" w:themeFill="accent6" w:themeFillTint="99"/>
          </w:tcPr>
          <w:p w:rsidRPr="007E54DC" w:rsidR="00C92F1F" w:rsidP="00C92F1F" w:rsidRDefault="00C92F1F" w14:paraId="6B96CA24"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Likelihood: 1</w:t>
            </w:r>
          </w:p>
          <w:p w:rsidRPr="007E54DC" w:rsidR="00C92F1F" w:rsidP="00C92F1F" w:rsidRDefault="00C92F1F" w14:paraId="12D5B54D"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Impact: 3</w:t>
            </w:r>
          </w:p>
          <w:p w:rsidRPr="007E54DC" w:rsidR="00C92F1F" w:rsidP="00C92F1F" w:rsidRDefault="00C92F1F" w14:paraId="2B9905F1"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p w:rsidRPr="007E54DC" w:rsidR="00C92F1F" w:rsidP="00C92F1F" w:rsidRDefault="00C92F1F" w14:paraId="2885C685"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b/>
                <w:bCs/>
                <w:sz w:val="18"/>
                <w:szCs w:val="18"/>
                <w:lang w:eastAsia="en-GB"/>
              </w:rPr>
              <w:t>Risk Level:</w:t>
            </w:r>
            <w:r w:rsidRPr="007E54DC">
              <w:rPr>
                <w:rFonts w:eastAsia="Times New Roman" w:cstheme="minorHAnsi"/>
                <w:sz w:val="18"/>
                <w:szCs w:val="18"/>
                <w:lang w:eastAsia="en-GB"/>
              </w:rPr>
              <w:t xml:space="preserve"> Low</w:t>
            </w:r>
          </w:p>
        </w:tc>
        <w:tc>
          <w:tcPr>
            <w:tcW w:w="1655" w:type="pct"/>
          </w:tcPr>
          <w:p w:rsidRPr="007E54DC" w:rsidR="00C92F1F" w:rsidP="006628DE" w:rsidRDefault="00C92F1F" w14:paraId="2F1D993C" w14:textId="77777777">
            <w:pPr>
              <w:numPr>
                <w:ilvl w:val="0"/>
                <w:numId w:val="30"/>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Selection of diverse group of experts to constitute the GFCR Advisory Board</w:t>
            </w:r>
          </w:p>
          <w:p w:rsidRPr="007E54DC" w:rsidR="00C92F1F" w:rsidP="006628DE" w:rsidRDefault="00C92F1F" w14:paraId="1D8C6020" w14:textId="77777777">
            <w:pPr>
              <w:numPr>
                <w:ilvl w:val="0"/>
                <w:numId w:val="30"/>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Formal appointment of GCF and ICRI as co-chairs of the GFCR Advisory Board</w:t>
            </w:r>
          </w:p>
        </w:tc>
        <w:tc>
          <w:tcPr>
            <w:tcW w:w="805" w:type="pct"/>
          </w:tcPr>
          <w:p w:rsidRPr="007E54DC" w:rsidR="00C92F1F" w:rsidP="00C92F1F" w:rsidRDefault="00C92F1F" w14:paraId="2D50707C"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GFCR Grant Fund</w:t>
            </w:r>
          </w:p>
        </w:tc>
      </w:tr>
      <w:tr w:rsidRPr="007E54DC" w:rsidR="00C92F1F" w:rsidTr="23A59346" w14:paraId="5A27BFD2" w14:textId="77777777">
        <w:trPr>
          <w:trHeight w:val="74"/>
          <w:jc w:val="center"/>
        </w:trPr>
        <w:tc>
          <w:tcPr>
            <w:cnfStyle w:val="001000000000" w:firstRow="0" w:lastRow="0" w:firstColumn="1" w:lastColumn="0" w:oddVBand="0" w:evenVBand="0" w:oddHBand="0" w:evenHBand="0" w:firstRowFirstColumn="0" w:firstRowLastColumn="0" w:lastRowFirstColumn="0" w:lastRowLastColumn="0"/>
            <w:tcW w:w="965" w:type="pct"/>
          </w:tcPr>
          <w:p w:rsidRPr="007E54DC" w:rsidR="00C92F1F" w:rsidP="00C92F1F" w:rsidRDefault="00C92F1F" w14:paraId="5738AD89" w14:textId="77777777">
            <w:pPr>
              <w:spacing w:before="100" w:beforeAutospacing="1" w:after="100" w:afterAutospacing="1" w:line="240" w:lineRule="auto"/>
              <w:jc w:val="left"/>
              <w:rPr>
                <w:rFonts w:eastAsia="Times New Roman" w:cstheme="minorHAnsi"/>
                <w:sz w:val="18"/>
                <w:szCs w:val="18"/>
                <w:lang w:eastAsia="en-GB"/>
              </w:rPr>
            </w:pPr>
            <w:r w:rsidRPr="007E54DC">
              <w:rPr>
                <w:rFonts w:eastAsia="Times New Roman" w:cstheme="minorHAnsi"/>
                <w:sz w:val="18"/>
                <w:szCs w:val="18"/>
                <w:lang w:eastAsia="en-GB"/>
              </w:rPr>
              <w:t>Unintended negative socio-economic outcomes resulting from coral-positive interventions</w:t>
            </w:r>
          </w:p>
        </w:tc>
        <w:tc>
          <w:tcPr>
            <w:tcW w:w="906" w:type="pct"/>
          </w:tcPr>
          <w:p w:rsidRPr="007E54DC" w:rsidR="00C92F1F" w:rsidP="00C92F1F" w:rsidRDefault="00C92F1F" w14:paraId="346632AB"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Reduced credibility and overall trust in GFCR from beneficiary communities, governments, etc.</w:t>
            </w:r>
          </w:p>
        </w:tc>
        <w:tc>
          <w:tcPr>
            <w:tcW w:w="669" w:type="pct"/>
            <w:shd w:val="clear" w:color="auto" w:fill="F4B083" w:themeFill="accent2" w:themeFillTint="99"/>
          </w:tcPr>
          <w:p w:rsidRPr="007E54DC" w:rsidR="00C92F1F" w:rsidP="00C92F1F" w:rsidRDefault="00C92F1F" w14:paraId="1099E4F3"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Likelihood: 2</w:t>
            </w:r>
          </w:p>
          <w:p w:rsidRPr="007E54DC" w:rsidR="00C92F1F" w:rsidP="00C92F1F" w:rsidRDefault="00C92F1F" w14:paraId="7AF10B27"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Impact: 5</w:t>
            </w:r>
          </w:p>
          <w:p w:rsidRPr="007E54DC" w:rsidR="00C92F1F" w:rsidP="00C92F1F" w:rsidRDefault="00C92F1F" w14:paraId="0C45BEF2"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p w:rsidRPr="007E54DC" w:rsidR="00C92F1F" w:rsidP="00C92F1F" w:rsidRDefault="00C92F1F" w14:paraId="6ABB136B"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b/>
                <w:bCs/>
                <w:sz w:val="18"/>
                <w:szCs w:val="18"/>
                <w:lang w:eastAsia="en-GB"/>
              </w:rPr>
              <w:t>Risk level:</w:t>
            </w:r>
            <w:r w:rsidRPr="007E54DC">
              <w:rPr>
                <w:rFonts w:eastAsia="Times New Roman" w:cstheme="minorHAnsi"/>
                <w:sz w:val="18"/>
                <w:szCs w:val="18"/>
                <w:lang w:eastAsia="en-GB"/>
              </w:rPr>
              <w:t xml:space="preserve"> Substantial</w:t>
            </w:r>
          </w:p>
        </w:tc>
        <w:tc>
          <w:tcPr>
            <w:tcW w:w="1655" w:type="pct"/>
          </w:tcPr>
          <w:p w:rsidRPr="007E54DC" w:rsidR="00C92F1F" w:rsidP="006628DE" w:rsidRDefault="00C92F1F" w14:paraId="25E4D0FB" w14:textId="77777777">
            <w:pPr>
              <w:numPr>
                <w:ilvl w:val="0"/>
                <w:numId w:val="30"/>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Fund-level Environmental &amp; Social Safeguards, Risk Management System, and Gender Policy to govern GFCR interventions</w:t>
            </w:r>
          </w:p>
          <w:p w:rsidRPr="007E54DC" w:rsidR="00C92F1F" w:rsidP="006628DE" w:rsidRDefault="00C92F1F" w14:paraId="5631F03E" w14:textId="77777777">
            <w:pPr>
              <w:numPr>
                <w:ilvl w:val="0"/>
                <w:numId w:val="30"/>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Decentralising efforts and empowering Convening Agents to manage and mitigate programmatic risks more holistically</w:t>
            </w:r>
          </w:p>
        </w:tc>
        <w:tc>
          <w:tcPr>
            <w:tcW w:w="805" w:type="pct"/>
          </w:tcPr>
          <w:p w:rsidRPr="007E54DC" w:rsidR="00C92F1F" w:rsidP="00C92F1F" w:rsidRDefault="00C92F1F" w14:paraId="54DA6A2A"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GFCR Grant &amp; Investment Funds; Convening Agents and Co-implementers</w:t>
            </w:r>
          </w:p>
        </w:tc>
      </w:tr>
      <w:tr w:rsidRPr="007E54DC" w:rsidR="00C92F1F" w:rsidTr="23A59346" w14:paraId="0D10795F" w14:textId="77777777">
        <w:trPr>
          <w:trHeight w:val="74"/>
          <w:jc w:val="center"/>
        </w:trPr>
        <w:tc>
          <w:tcPr>
            <w:cnfStyle w:val="001000000000" w:firstRow="0" w:lastRow="0" w:firstColumn="1" w:lastColumn="0" w:oddVBand="0" w:evenVBand="0" w:oddHBand="0" w:evenHBand="0" w:firstRowFirstColumn="0" w:firstRowLastColumn="0" w:lastRowFirstColumn="0" w:lastRowLastColumn="0"/>
            <w:tcW w:w="965" w:type="pct"/>
          </w:tcPr>
          <w:p w:rsidRPr="007E54DC" w:rsidR="00C92F1F" w:rsidP="00C92F1F" w:rsidRDefault="00C92F1F" w14:paraId="41F6D114" w14:textId="77777777">
            <w:pPr>
              <w:spacing w:before="100" w:beforeAutospacing="1" w:after="100" w:afterAutospacing="1" w:line="240" w:lineRule="auto"/>
              <w:jc w:val="left"/>
              <w:rPr>
                <w:rFonts w:eastAsia="Times New Roman" w:cstheme="minorHAnsi"/>
                <w:sz w:val="18"/>
                <w:szCs w:val="18"/>
                <w:lang w:eastAsia="en-GB"/>
              </w:rPr>
            </w:pPr>
            <w:r w:rsidRPr="007E54DC">
              <w:rPr>
                <w:rFonts w:eastAsia="Times New Roman" w:cstheme="minorHAnsi"/>
                <w:sz w:val="18"/>
                <w:szCs w:val="18"/>
                <w:lang w:eastAsia="en-GB"/>
              </w:rPr>
              <w:t>Challenge of attracting private sector investment into businesses incubated by the Convening Agents and their implementing partners</w:t>
            </w:r>
          </w:p>
        </w:tc>
        <w:tc>
          <w:tcPr>
            <w:tcW w:w="906" w:type="pct"/>
          </w:tcPr>
          <w:p w:rsidRPr="007E54DC" w:rsidR="00C92F1F" w:rsidP="00C92F1F" w:rsidRDefault="00C92F1F" w14:paraId="34BFB46C"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Incubated SMEs are not able to grow due to lack of investment capital</w:t>
            </w:r>
          </w:p>
        </w:tc>
        <w:tc>
          <w:tcPr>
            <w:tcW w:w="669" w:type="pct"/>
            <w:shd w:val="clear" w:color="auto" w:fill="F4B083" w:themeFill="accent2" w:themeFillTint="99"/>
          </w:tcPr>
          <w:p w:rsidRPr="007E54DC" w:rsidR="00C92F1F" w:rsidP="00C92F1F" w:rsidRDefault="00C92F1F" w14:paraId="01E468E1"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Likelihood: 2</w:t>
            </w:r>
          </w:p>
          <w:p w:rsidRPr="007E54DC" w:rsidR="00C92F1F" w:rsidP="00C92F1F" w:rsidRDefault="00C92F1F" w14:paraId="32984247"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Impact: 4</w:t>
            </w:r>
          </w:p>
          <w:p w:rsidRPr="007E54DC" w:rsidR="00C92F1F" w:rsidP="00C92F1F" w:rsidRDefault="00C92F1F" w14:paraId="16335CAA"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p w:rsidRPr="007E54DC" w:rsidR="00C92F1F" w:rsidP="00C92F1F" w:rsidRDefault="00C92F1F" w14:paraId="4B769915"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b/>
                <w:bCs/>
                <w:sz w:val="18"/>
                <w:szCs w:val="18"/>
                <w:lang w:eastAsia="en-GB"/>
              </w:rPr>
              <w:t>Risk Level:</w:t>
            </w:r>
            <w:r w:rsidRPr="007E54DC">
              <w:rPr>
                <w:rFonts w:eastAsia="Times New Roman" w:cstheme="minorHAnsi"/>
                <w:sz w:val="18"/>
                <w:szCs w:val="18"/>
                <w:lang w:eastAsia="en-GB"/>
              </w:rPr>
              <w:t xml:space="preserve"> Substantial</w:t>
            </w:r>
          </w:p>
        </w:tc>
        <w:tc>
          <w:tcPr>
            <w:tcW w:w="1655" w:type="pct"/>
          </w:tcPr>
          <w:p w:rsidRPr="007E54DC" w:rsidR="00C92F1F" w:rsidP="00C92F1F" w:rsidRDefault="00C92F1F" w14:paraId="1FDBA4BB"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 xml:space="preserve">GFCR builds investor network through partnerships. Expansion of Blue Bridge Technical Assistance Services. Convening Agents strengthen in-country partnerships with commercial institutions. This risk is expanded upon below. </w:t>
            </w:r>
          </w:p>
        </w:tc>
        <w:tc>
          <w:tcPr>
            <w:tcW w:w="805" w:type="pct"/>
          </w:tcPr>
          <w:p w:rsidRPr="007E54DC" w:rsidR="00C92F1F" w:rsidP="00C92F1F" w:rsidRDefault="00C92F1F" w14:paraId="484B5534"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GFCR Grant Fund; Global Team, UNCDF, Convening Agents</w:t>
            </w:r>
          </w:p>
        </w:tc>
      </w:tr>
      <w:tr w:rsidRPr="007E54DC" w:rsidR="00C92F1F" w:rsidTr="23A59346" w14:paraId="37500744" w14:textId="77777777">
        <w:trPr>
          <w:trHeight w:val="73"/>
          <w:jc w:val="center"/>
        </w:trPr>
        <w:tc>
          <w:tcPr>
            <w:cnfStyle w:val="001000000000" w:firstRow="0" w:lastRow="0" w:firstColumn="1" w:lastColumn="0" w:oddVBand="0" w:evenVBand="0" w:oddHBand="0" w:evenHBand="0" w:firstRowFirstColumn="0" w:firstRowLastColumn="0" w:lastRowFirstColumn="0" w:lastRowLastColumn="0"/>
            <w:tcW w:w="965" w:type="pct"/>
          </w:tcPr>
          <w:p w:rsidRPr="007E54DC" w:rsidR="00C92F1F" w:rsidP="00C92F1F" w:rsidRDefault="00C92F1F" w14:paraId="4C0CDDF2" w14:textId="77777777">
            <w:pPr>
              <w:spacing w:before="100" w:beforeAutospacing="1" w:after="100" w:afterAutospacing="1" w:line="240" w:lineRule="auto"/>
              <w:jc w:val="left"/>
              <w:rPr>
                <w:rFonts w:eastAsia="Times New Roman" w:cstheme="minorHAnsi"/>
                <w:sz w:val="18"/>
                <w:szCs w:val="18"/>
                <w:lang w:eastAsia="en-GB"/>
              </w:rPr>
            </w:pPr>
            <w:r w:rsidRPr="007E54DC">
              <w:rPr>
                <w:rFonts w:eastAsia="Times New Roman" w:cstheme="minorHAnsi"/>
                <w:sz w:val="18"/>
                <w:szCs w:val="18"/>
                <w:lang w:eastAsia="en-GB"/>
              </w:rPr>
              <w:t>Information and local capacity gaps constraining monitoring &amp; evaluation efforts</w:t>
            </w:r>
          </w:p>
        </w:tc>
        <w:tc>
          <w:tcPr>
            <w:tcW w:w="906" w:type="pct"/>
          </w:tcPr>
          <w:p w:rsidRPr="007E54DC" w:rsidR="00C92F1F" w:rsidP="00C92F1F" w:rsidRDefault="00C92F1F" w14:paraId="24AB5BBE"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Reduced ability for M&amp;E leading to lower quality findings that inform and improve programmatic efforts</w:t>
            </w:r>
          </w:p>
        </w:tc>
        <w:tc>
          <w:tcPr>
            <w:tcW w:w="669" w:type="pct"/>
            <w:shd w:val="clear" w:color="auto" w:fill="FFD966" w:themeFill="accent4" w:themeFillTint="99"/>
          </w:tcPr>
          <w:p w:rsidRPr="007E54DC" w:rsidR="00C92F1F" w:rsidP="00C92F1F" w:rsidRDefault="00C92F1F" w14:paraId="47D4E97B"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Likelihood: 3</w:t>
            </w:r>
          </w:p>
          <w:p w:rsidRPr="007E54DC" w:rsidR="00C92F1F" w:rsidP="00C92F1F" w:rsidRDefault="00C92F1F" w14:paraId="4E0DF790"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Impact: 3</w:t>
            </w:r>
          </w:p>
          <w:p w:rsidRPr="007E54DC" w:rsidR="00C92F1F" w:rsidP="00C92F1F" w:rsidRDefault="00C92F1F" w14:paraId="08DF2E07"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p w:rsidRPr="007E54DC" w:rsidR="00C92F1F" w:rsidP="00C92F1F" w:rsidRDefault="00C92F1F" w14:paraId="74F5666E"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b/>
                <w:bCs/>
                <w:sz w:val="18"/>
                <w:szCs w:val="18"/>
                <w:lang w:eastAsia="en-GB"/>
              </w:rPr>
              <w:t>Risk Level:</w:t>
            </w:r>
            <w:r w:rsidRPr="007E54DC">
              <w:rPr>
                <w:rFonts w:eastAsia="Times New Roman" w:cstheme="minorHAnsi"/>
                <w:sz w:val="18"/>
                <w:szCs w:val="18"/>
                <w:lang w:eastAsia="en-GB"/>
              </w:rPr>
              <w:t xml:space="preserve"> Moderate</w:t>
            </w:r>
          </w:p>
        </w:tc>
        <w:tc>
          <w:tcPr>
            <w:tcW w:w="1655" w:type="pct"/>
          </w:tcPr>
          <w:p w:rsidRPr="007E54DC" w:rsidR="00C92F1F" w:rsidP="00C92F1F" w:rsidRDefault="00C92F1F" w14:paraId="05678A64"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Development of a unified M&amp;E taskforce to be implemented across GFCR programmes under UNEP as lead agency</w:t>
            </w:r>
          </w:p>
        </w:tc>
        <w:tc>
          <w:tcPr>
            <w:tcW w:w="805" w:type="pct"/>
          </w:tcPr>
          <w:p w:rsidRPr="007E54DC" w:rsidR="00C92F1F" w:rsidP="00EE1CBB" w:rsidRDefault="00C92F1F" w14:paraId="7034DEB0" w14:textId="77777777">
            <w:pPr>
              <w:keepNext/>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GFCR Grant Fund; UNEP</w:t>
            </w:r>
          </w:p>
        </w:tc>
      </w:tr>
    </w:tbl>
    <w:p w:rsidRPr="007E54DC" w:rsidR="00EE1CBB" w:rsidP="000473E7" w:rsidRDefault="000473E7" w14:paraId="79166BF2" w14:textId="3C10996A">
      <w:pPr>
        <w:pStyle w:val="Caption"/>
      </w:pPr>
      <w:bookmarkStart w:name="_Toc132104921" w:id="66"/>
      <w:r>
        <w:t xml:space="preserve">Table </w:t>
      </w:r>
      <w:r>
        <w:fldChar w:fldCharType="begin"/>
      </w:r>
      <w:r>
        <w:instrText> SEQ Table \* ARABIC </w:instrText>
      </w:r>
      <w:r>
        <w:fldChar w:fldCharType="separate"/>
      </w:r>
      <w:r w:rsidR="00B9356F">
        <w:rPr>
          <w:noProof/>
        </w:rPr>
        <w:t>11</w:t>
      </w:r>
      <w:r>
        <w:fldChar w:fldCharType="end"/>
      </w:r>
      <w:r>
        <w:rPr>
          <w:noProof/>
        </w:rPr>
        <w:t xml:space="preserve"> - </w:t>
      </w:r>
      <w:r w:rsidRPr="00370A93">
        <w:rPr>
          <w:noProof/>
        </w:rPr>
        <w:t>An overview of Fund-level and programme-level risks and managers</w:t>
      </w:r>
      <w:bookmarkEnd w:id="66"/>
    </w:p>
    <w:p w:rsidRPr="007E54DC" w:rsidR="006E055F" w:rsidP="00C92CBA" w:rsidRDefault="11FC5489" w14:paraId="7E05373F" w14:textId="51DDE192">
      <w:pPr>
        <w:pStyle w:val="Heading3"/>
        <w:rPr>
          <w:rStyle w:val="Strong"/>
          <w:b w:val="0"/>
          <w:bCs w:val="0"/>
        </w:rPr>
      </w:pPr>
      <w:bookmarkStart w:name="_Toc532467137" w:id="1942073795"/>
      <w:r w:rsidR="11FC5489">
        <w:rPr/>
        <w:t xml:space="preserve">GFCR M&amp;E Strategy, </w:t>
      </w:r>
      <w:r w:rsidR="00952594">
        <w:rPr/>
        <w:t>LogFrame</w:t>
      </w:r>
      <w:r w:rsidR="11FC5489">
        <w:rPr/>
        <w:t xml:space="preserve"> and </w:t>
      </w:r>
      <w:r w:rsidR="006E055F">
        <w:rPr/>
        <w:t>Performance indicators</w:t>
      </w:r>
      <w:bookmarkEnd w:id="1942073795"/>
      <w:r w:rsidR="006E055F">
        <w:rPr/>
        <w:t xml:space="preserve"> </w:t>
      </w:r>
    </w:p>
    <w:p w:rsidRPr="007E54DC" w:rsidR="00727D77" w:rsidP="00727D77" w:rsidRDefault="72E02571" w14:paraId="38D10E10" w14:textId="2971320B">
      <w:r w:rsidRPr="007E54DC">
        <w:t xml:space="preserve">The </w:t>
      </w:r>
      <w:r w:rsidRPr="007E54DC" w:rsidR="69BB4810">
        <w:t xml:space="preserve">fund level </w:t>
      </w:r>
      <w:r w:rsidRPr="007E54DC">
        <w:t>Results framework within the GFCR Terms of Reference has been refined by UNEP with the support of a Scientific and Technical Advisory Group (STAG)</w:t>
      </w:r>
      <w:r w:rsidRPr="007E54DC" w:rsidR="00BF7454">
        <w:rPr>
          <w:rStyle w:val="FootnoteReference"/>
        </w:rPr>
        <w:footnoteReference w:id="29"/>
      </w:r>
      <w:r w:rsidRPr="007E54DC">
        <w:t>. The STAG</w:t>
      </w:r>
      <w:r w:rsidRPr="007E54DC" w:rsidR="0568DC88">
        <w:t>, assembled through an open Expression of Interest,</w:t>
      </w:r>
      <w:r w:rsidRPr="007E54DC">
        <w:t xml:space="preserve"> comprises independent experts in diverse fields related to coral reef </w:t>
      </w:r>
      <w:r w:rsidRPr="007E54DC">
        <w:t xml:space="preserve">conservation, </w:t>
      </w:r>
      <w:r w:rsidRPr="007E54DC" w:rsidR="33970159">
        <w:t>including</w:t>
      </w:r>
      <w:r w:rsidRPr="007E54DC">
        <w:t xml:space="preserve"> marine resource management; coral reef restoration; resilience, and socioeconomics of coral reef adjacent communities; and conservation finance and sustainable business experts. The group will provide recommendations and advice to the GFCR Secretariat and key partners with a focus on MEL.</w:t>
      </w:r>
    </w:p>
    <w:p w:rsidRPr="007E54DC" w:rsidR="00E956E4" w:rsidP="287C277A" w:rsidRDefault="2897DCB2" w14:paraId="4F2D0172" w14:textId="5525BEE9">
      <w:r w:rsidRPr="007E54DC">
        <w:t xml:space="preserve">The GFCR indicators are being refined as part of revisions to GFCR’s draft M&amp;E Toolkit, from which guidance on sub-indicators, </w:t>
      </w:r>
      <w:r w:rsidRPr="007E54DC" w:rsidR="00C94758">
        <w:t xml:space="preserve">evidenced-led </w:t>
      </w:r>
      <w:r w:rsidRPr="007E54DC">
        <w:t>targets and data collection will be developed</w:t>
      </w:r>
      <w:r w:rsidRPr="007E54DC" w:rsidR="7E97D266">
        <w:t xml:space="preserve">. </w:t>
      </w:r>
      <w:r w:rsidRPr="007E54DC">
        <w:t xml:space="preserve">At a programme-level, Defra have fed back on the need to include more qualitative indicators to reflect community/stakeholder satisfaction, </w:t>
      </w:r>
      <w:r w:rsidRPr="007E54DC" w:rsidR="477920B0">
        <w:t>i.e.,</w:t>
      </w:r>
      <w:r w:rsidRPr="007E54DC">
        <w:t xml:space="preserve"> the perception of positive change. UNEP will work with M&amp;E contacts in Convening Agent organisations to ensure project specific M&amp;E Strategies reflect the GFCR-level indicators. The GFCR log frame is being revised following comments from the STAG and Defra, with work underway to validate baselines and begin tracking progress as projects and investments start to deliver results.</w:t>
      </w:r>
      <w:r w:rsidRPr="007E54DC" w:rsidR="458F7006">
        <w:t xml:space="preserve"> In addition to this GFCR are </w:t>
      </w:r>
      <w:r w:rsidRPr="007E54DC" w:rsidR="0736B364">
        <w:t>in the process of employing a permanent</w:t>
      </w:r>
      <w:r w:rsidRPr="007E54DC" w:rsidR="458F7006">
        <w:t xml:space="preserve"> statistician who will act as a MEL consultant. </w:t>
      </w:r>
    </w:p>
    <w:p w:rsidRPr="007E54DC" w:rsidR="006E055F" w:rsidP="006E055F" w:rsidRDefault="006E055F" w14:paraId="29256439" w14:textId="590ED794">
      <w:pPr>
        <w:spacing w:after="0"/>
      </w:pPr>
      <w:r w:rsidRPr="007E54DC">
        <w:t xml:space="preserve">The GFCR </w:t>
      </w:r>
      <w:r w:rsidRPr="007E54DC" w:rsidR="00B82220">
        <w:t xml:space="preserve">results framework </w:t>
      </w:r>
      <w:r w:rsidRPr="007E54DC">
        <w:t>will measure results and performance against the indicators listed below</w:t>
      </w:r>
      <w:r w:rsidRPr="007E54DC" w:rsidR="009069BC">
        <w:t>. The metrics for several of these indicators are still under</w:t>
      </w:r>
      <w:r w:rsidRPr="007E54DC" w:rsidR="6DAD8C2E">
        <w:t xml:space="preserve"> </w:t>
      </w:r>
      <w:r w:rsidRPr="007E54DC" w:rsidR="009069BC">
        <w:t xml:space="preserve">development and the </w:t>
      </w:r>
      <w:r w:rsidRPr="007E54DC" w:rsidR="00FB1D84">
        <w:t xml:space="preserve">BPF MEL advisor </w:t>
      </w:r>
      <w:r w:rsidRPr="007E54DC" w:rsidR="009069BC">
        <w:t xml:space="preserve">is </w:t>
      </w:r>
      <w:r w:rsidRPr="007E54DC" w:rsidR="00FB1D84">
        <w:t xml:space="preserve">in </w:t>
      </w:r>
      <w:r w:rsidRPr="007E54DC" w:rsidR="009069BC">
        <w:t xml:space="preserve">discussion with the GFCRs </w:t>
      </w:r>
      <w:r w:rsidRPr="007E54DC" w:rsidR="001505C3">
        <w:t xml:space="preserve">STAG </w:t>
      </w:r>
      <w:r w:rsidRPr="007E54DC" w:rsidR="009069BC">
        <w:t xml:space="preserve">to </w:t>
      </w:r>
      <w:r w:rsidRPr="007E54DC" w:rsidR="00FB1D84">
        <w:t>support that development.</w:t>
      </w:r>
    </w:p>
    <w:p w:rsidRPr="007E54DC" w:rsidR="006E055F" w:rsidP="006628DE" w:rsidRDefault="006E055F" w14:paraId="1A82ADC2" w14:textId="77777777">
      <w:pPr>
        <w:pStyle w:val="ListParagraph"/>
        <w:numPr>
          <w:ilvl w:val="0"/>
          <w:numId w:val="20"/>
        </w:numPr>
        <w:spacing w:after="0"/>
      </w:pPr>
      <w:r w:rsidRPr="007E54DC">
        <w:t>reef fish abundance and biomass</w:t>
      </w:r>
    </w:p>
    <w:p w:rsidRPr="007E54DC" w:rsidR="006E055F" w:rsidP="006628DE" w:rsidRDefault="006E055F" w14:paraId="2250B728" w14:textId="77777777">
      <w:pPr>
        <w:pStyle w:val="ListParagraph"/>
        <w:numPr>
          <w:ilvl w:val="0"/>
          <w:numId w:val="20"/>
        </w:numPr>
        <w:spacing w:after="0"/>
      </w:pPr>
      <w:r w:rsidRPr="007E54DC">
        <w:t>ratio of co-financing leveraged</w:t>
      </w:r>
    </w:p>
    <w:p w:rsidRPr="007E54DC" w:rsidR="00DD3F43" w:rsidP="006628DE" w:rsidRDefault="73A732BE" w14:paraId="075238B6" w14:textId="0265B0A7">
      <w:pPr>
        <w:pStyle w:val="ListParagraph"/>
        <w:numPr>
          <w:ilvl w:val="0"/>
          <w:numId w:val="20"/>
        </w:numPr>
        <w:spacing w:after="0"/>
      </w:pPr>
      <w:r w:rsidRPr="007E54DC">
        <w:t>adaptive capacity of coastal communities</w:t>
      </w:r>
    </w:p>
    <w:p w:rsidRPr="007E54DC" w:rsidR="006E055F" w:rsidP="006628DE" w:rsidRDefault="006E055F" w14:paraId="4B5F1923" w14:textId="77777777">
      <w:pPr>
        <w:pStyle w:val="ListParagraph"/>
        <w:numPr>
          <w:ilvl w:val="0"/>
          <w:numId w:val="20"/>
        </w:numPr>
        <w:spacing w:after="0"/>
      </w:pPr>
      <w:r w:rsidRPr="007E54DC">
        <w:t>Selected parameters for water quality and coral reef health</w:t>
      </w:r>
    </w:p>
    <w:p w:rsidRPr="007E54DC" w:rsidR="006E055F" w:rsidP="006628DE" w:rsidRDefault="006E055F" w14:paraId="1A5427DD" w14:textId="77777777">
      <w:pPr>
        <w:pStyle w:val="ListParagraph"/>
        <w:numPr>
          <w:ilvl w:val="0"/>
          <w:numId w:val="20"/>
        </w:numPr>
        <w:spacing w:after="0"/>
      </w:pPr>
      <w:r w:rsidRPr="007E54DC">
        <w:t>proportion of coral reefs under effective protection and management</w:t>
      </w:r>
    </w:p>
    <w:p w:rsidRPr="007E54DC" w:rsidR="006E055F" w:rsidP="006628DE" w:rsidRDefault="006E055F" w14:paraId="2989FC17" w14:textId="77777777">
      <w:pPr>
        <w:pStyle w:val="ListParagraph"/>
        <w:numPr>
          <w:ilvl w:val="0"/>
          <w:numId w:val="20"/>
        </w:numPr>
        <w:spacing w:after="0"/>
      </w:pPr>
      <w:r w:rsidRPr="007E54DC">
        <w:t>benthic cover and composition</w:t>
      </w:r>
    </w:p>
    <w:p w:rsidRPr="007E54DC" w:rsidR="006E055F" w:rsidP="006628DE" w:rsidRDefault="006E055F" w14:paraId="2D98B7AD" w14:textId="77777777">
      <w:pPr>
        <w:pStyle w:val="ListParagraph"/>
        <w:numPr>
          <w:ilvl w:val="0"/>
          <w:numId w:val="20"/>
        </w:numPr>
        <w:spacing w:after="0"/>
      </w:pPr>
      <w:r w:rsidRPr="007E54DC">
        <w:t>integrated Local Threat Index</w:t>
      </w:r>
    </w:p>
    <w:p w:rsidRPr="007E54DC" w:rsidR="006E055F" w:rsidP="006628DE" w:rsidRDefault="5E2F0155" w14:paraId="56CB3FF6" w14:textId="33941DC3">
      <w:pPr>
        <w:pStyle w:val="ListParagraph"/>
        <w:numPr>
          <w:ilvl w:val="0"/>
          <w:numId w:val="20"/>
        </w:numPr>
        <w:spacing w:after="0"/>
      </w:pPr>
      <w:r w:rsidRPr="007E54DC">
        <w:t>Proportion of financing that is “sustainable Financing</w:t>
      </w:r>
      <w:r w:rsidRPr="007E54DC" w:rsidR="007F53B3">
        <w:rPr>
          <w:rStyle w:val="FootnoteReference"/>
        </w:rPr>
        <w:footnoteReference w:id="30"/>
      </w:r>
      <w:r w:rsidRPr="007E54DC">
        <w:t xml:space="preserve">” </w:t>
      </w:r>
    </w:p>
    <w:p w:rsidRPr="007E54DC" w:rsidR="006E055F" w:rsidP="006628DE" w:rsidRDefault="006E055F" w14:paraId="4E61B195" w14:textId="77777777">
      <w:pPr>
        <w:pStyle w:val="ListParagraph"/>
        <w:numPr>
          <w:ilvl w:val="0"/>
          <w:numId w:val="20"/>
        </w:numPr>
        <w:spacing w:after="0"/>
      </w:pPr>
      <w:r w:rsidRPr="007E54DC">
        <w:t>Ratio of private and market finance to grant fund allocation</w:t>
      </w:r>
    </w:p>
    <w:p w:rsidRPr="007E54DC" w:rsidR="006E055F" w:rsidP="006628DE" w:rsidRDefault="006E055F" w14:paraId="14E68C94" w14:textId="77777777">
      <w:pPr>
        <w:pStyle w:val="ListParagraph"/>
        <w:numPr>
          <w:ilvl w:val="0"/>
          <w:numId w:val="20"/>
        </w:numPr>
        <w:spacing w:after="240"/>
      </w:pPr>
      <w:r w:rsidRPr="007E54DC">
        <w:t>Impact and occurrence of climate induced events</w:t>
      </w:r>
    </w:p>
    <w:p w:rsidRPr="007E54DC" w:rsidR="1152E5B4" w:rsidP="23A59346" w:rsidRDefault="3539EC43" w14:paraId="2B4FB20E" w14:textId="76636E15">
      <w:pPr>
        <w:spacing w:after="160"/>
      </w:pPr>
      <w:r w:rsidRPr="007E54DC">
        <w:t xml:space="preserve">We continue to feed into all aspects of MEL development, for example commenting on the GFCR Monitoring and Evaluation (M&amp;E) Strategy and </w:t>
      </w:r>
      <w:r w:rsidRPr="007E54DC" w:rsidR="7CC56381">
        <w:t xml:space="preserve">seeking their </w:t>
      </w:r>
      <w:r w:rsidRPr="007E54DC">
        <w:t xml:space="preserve">engagement in writing the Annual Review (see Expected Impact section above). We will </w:t>
      </w:r>
      <w:r w:rsidRPr="007E54DC" w:rsidR="7CC56381">
        <w:t xml:space="preserve">continue </w:t>
      </w:r>
      <w:r w:rsidRPr="007E54DC">
        <w:t xml:space="preserve">be involved in GFCR’s plans for </w:t>
      </w:r>
      <w:r w:rsidRPr="007E54DC" w:rsidR="1AC1B386">
        <w:t>the</w:t>
      </w:r>
      <w:r w:rsidRPr="007E54DC">
        <w:t xml:space="preserve"> knowledge management </w:t>
      </w:r>
      <w:proofErr w:type="gramStart"/>
      <w:r w:rsidRPr="007E54DC">
        <w:t>platform</w:t>
      </w:r>
      <w:r w:rsidRPr="007E54DC" w:rsidR="5BA28A36">
        <w:t>,</w:t>
      </w:r>
      <w:r w:rsidRPr="007E54DC" w:rsidR="450205F6">
        <w:t>;</w:t>
      </w:r>
      <w:proofErr w:type="gramEnd"/>
      <w:r w:rsidRPr="007E54DC" w:rsidR="450205F6">
        <w:t xml:space="preserve"> The </w:t>
      </w:r>
      <w:r w:rsidRPr="007E54DC" w:rsidR="5BA28A36">
        <w:t>REEF+ Accelerator</w:t>
      </w:r>
      <w:r w:rsidRPr="007E54DC" w:rsidR="180B7DE9">
        <w:t xml:space="preserve">. </w:t>
      </w:r>
    </w:p>
    <w:p w:rsidRPr="007E54DC" w:rsidR="1152E5B4" w:rsidP="23A59346" w:rsidRDefault="65AE0E14" w14:paraId="203576A9" w14:textId="68AC212B">
      <w:pPr>
        <w:spacing w:after="160"/>
        <w:rPr>
          <w:rFonts w:ascii="Calibri" w:hAnsi="Calibri" w:eastAsia="Calibri" w:cs="Calibri"/>
          <w:color w:val="000000" w:themeColor="text1"/>
          <w:lang w:val="en"/>
        </w:rPr>
      </w:pPr>
      <w:r w:rsidRPr="007E54DC">
        <w:t>T</w:t>
      </w:r>
      <w:r w:rsidRPr="007E54DC" w:rsidR="618230D2">
        <w:t>he</w:t>
      </w:r>
      <w:r w:rsidRPr="007E54DC" w:rsidR="504B649C">
        <w:rPr>
          <w:rFonts w:ascii="Calibri" w:hAnsi="Calibri" w:eastAsia="Calibri" w:cs="Calibri"/>
          <w:color w:val="000000" w:themeColor="text1"/>
          <w:lang w:val="en"/>
        </w:rPr>
        <w:t xml:space="preserve"> REEF+ Accelerator</w:t>
      </w:r>
      <w:r w:rsidRPr="007E54DC" w:rsidR="72FA3BC0">
        <w:rPr>
          <w:rFonts w:ascii="Calibri" w:hAnsi="Calibri" w:eastAsia="Calibri" w:cs="Calibri"/>
          <w:color w:val="000000" w:themeColor="text1"/>
          <w:lang w:val="en"/>
        </w:rPr>
        <w:t xml:space="preserve"> was announced at CBD </w:t>
      </w:r>
      <w:proofErr w:type="gramStart"/>
      <w:r w:rsidRPr="007E54DC" w:rsidR="72FA3BC0">
        <w:rPr>
          <w:rFonts w:ascii="Calibri" w:hAnsi="Calibri" w:eastAsia="Calibri" w:cs="Calibri"/>
          <w:color w:val="000000" w:themeColor="text1"/>
          <w:lang w:val="en"/>
        </w:rPr>
        <w:t>COP15</w:t>
      </w:r>
      <w:r w:rsidRPr="007E54DC" w:rsidR="504B649C">
        <w:rPr>
          <w:rFonts w:ascii="Calibri" w:hAnsi="Calibri" w:eastAsia="Calibri" w:cs="Calibri"/>
          <w:color w:val="000000" w:themeColor="text1"/>
          <w:lang w:val="en"/>
        </w:rPr>
        <w:t>,</w:t>
      </w:r>
      <w:r w:rsidRPr="007E54DC" w:rsidR="76FF2897">
        <w:rPr>
          <w:rFonts w:ascii="Calibri" w:hAnsi="Calibri" w:eastAsia="Calibri" w:cs="Calibri"/>
          <w:color w:val="000000" w:themeColor="text1"/>
          <w:lang w:val="en"/>
        </w:rPr>
        <w:t xml:space="preserve"> and</w:t>
      </w:r>
      <w:proofErr w:type="gramEnd"/>
      <w:r w:rsidRPr="007E54DC" w:rsidR="504B649C">
        <w:rPr>
          <w:rFonts w:ascii="Calibri" w:hAnsi="Calibri" w:eastAsia="Calibri" w:cs="Calibri"/>
          <w:color w:val="000000" w:themeColor="text1"/>
          <w:lang w:val="en"/>
        </w:rPr>
        <w:t xml:space="preserve"> will be a bespoke global coral reef finance platform </w:t>
      </w:r>
      <w:r w:rsidRPr="007E54DC" w:rsidR="023F2E63">
        <w:rPr>
          <w:rFonts w:ascii="Calibri" w:hAnsi="Calibri" w:eastAsia="Calibri" w:cs="Calibri"/>
          <w:color w:val="000000" w:themeColor="text1"/>
          <w:lang w:val="en"/>
        </w:rPr>
        <w:t>that will</w:t>
      </w:r>
      <w:r w:rsidRPr="007E54DC" w:rsidR="504B649C">
        <w:rPr>
          <w:rFonts w:ascii="Calibri" w:hAnsi="Calibri" w:eastAsia="Calibri" w:cs="Calibri"/>
          <w:color w:val="000000" w:themeColor="text1"/>
          <w:lang w:val="en"/>
        </w:rPr>
        <w:t xml:space="preserve"> scale the knowledge, collaboration, and finance required to </w:t>
      </w:r>
      <w:r w:rsidRPr="007E54DC" w:rsidR="2BFB4EB1">
        <w:rPr>
          <w:rFonts w:ascii="Calibri" w:hAnsi="Calibri" w:eastAsia="Calibri" w:cs="Calibri"/>
          <w:color w:val="000000" w:themeColor="text1"/>
          <w:lang w:val="en"/>
        </w:rPr>
        <w:t>support</w:t>
      </w:r>
      <w:r w:rsidRPr="007E54DC" w:rsidR="504B649C">
        <w:rPr>
          <w:rFonts w:ascii="Calibri" w:hAnsi="Calibri" w:eastAsia="Calibri" w:cs="Calibri"/>
          <w:color w:val="000000" w:themeColor="text1"/>
          <w:lang w:val="en"/>
        </w:rPr>
        <w:t xml:space="preserve"> revenue-generating reef-positive enterprises and financial instruments</w:t>
      </w:r>
      <w:r w:rsidRPr="007E54DC" w:rsidR="1E72144D">
        <w:rPr>
          <w:rFonts w:ascii="Calibri" w:hAnsi="Calibri" w:eastAsia="Calibri" w:cs="Calibri"/>
          <w:color w:val="000000" w:themeColor="text1"/>
          <w:lang w:val="en"/>
        </w:rPr>
        <w:t>.</w:t>
      </w:r>
    </w:p>
    <w:p w:rsidRPr="007E54DC" w:rsidR="1152E5B4" w:rsidP="23A59346" w:rsidRDefault="1BEF3A5A" w14:paraId="59DE9F94" w14:textId="24D6D9C4">
      <w:pPr>
        <w:pStyle w:val="ListParagraph"/>
        <w:numPr>
          <w:ilvl w:val="0"/>
          <w:numId w:val="2"/>
        </w:numPr>
        <w:rPr>
          <w:rFonts w:eastAsia="Calibri"/>
          <w:lang w:val="en"/>
        </w:rPr>
      </w:pPr>
      <w:r w:rsidRPr="2CBED01F">
        <w:rPr>
          <w:rFonts w:eastAsia="Calibri"/>
          <w:lang w:val="en"/>
        </w:rPr>
        <w:t>REEF+ is structured through delivery of five action-oriented components:</w:t>
      </w:r>
    </w:p>
    <w:p w:rsidRPr="007E54DC" w:rsidR="1152E5B4" w:rsidP="6EF7DA90" w:rsidRDefault="1BEF3A5A" w14:paraId="02B441AF" w14:textId="5B66EE6E" w14:noSpellErr="1">
      <w:pPr>
        <w:pStyle w:val="ListParagraph"/>
        <w:numPr>
          <w:ilvl w:val="1"/>
          <w:numId w:val="2"/>
        </w:numPr>
        <w:rPr>
          <w:rFonts w:eastAsia="Calibri"/>
          <w:color w:val="000000" w:themeColor="text1"/>
          <w:lang w:val="en-US"/>
        </w:rPr>
      </w:pPr>
      <w:r w:rsidRPr="6EF7DA90" w:rsidR="1BEF3A5A">
        <w:rPr>
          <w:rFonts w:eastAsia="Calibri"/>
          <w:color w:val="000000" w:themeColor="text1" w:themeTint="FF" w:themeShade="FF"/>
          <w:lang w:val="en-US"/>
        </w:rPr>
        <w:t xml:space="preserve">REEF+ Discover enables coral reef practitioners to find and utilize scalable and replicable reef-positive enterprises and financial solutions.  </w:t>
      </w:r>
    </w:p>
    <w:p w:rsidRPr="007E54DC" w:rsidR="1152E5B4" w:rsidP="6EF7DA90" w:rsidRDefault="1BEF3A5A" w14:paraId="6C14015A" w14:textId="277B3390" w14:noSpellErr="1">
      <w:pPr>
        <w:pStyle w:val="ListParagraph"/>
        <w:numPr>
          <w:ilvl w:val="1"/>
          <w:numId w:val="2"/>
        </w:numPr>
        <w:rPr>
          <w:rFonts w:eastAsia="Calibri"/>
          <w:lang w:val="en-US"/>
        </w:rPr>
      </w:pPr>
      <w:r w:rsidRPr="6EF7DA90" w:rsidR="1BEF3A5A">
        <w:rPr>
          <w:rFonts w:eastAsia="Calibri"/>
          <w:lang w:val="en-US"/>
        </w:rPr>
        <w:t>REEF+ Collaborate enhances communication, connection and capacities among coral reef finance practitioners and experts.</w:t>
      </w:r>
    </w:p>
    <w:p w:rsidRPr="007E54DC" w:rsidR="1152E5B4" w:rsidP="6EF7DA90" w:rsidRDefault="1BEF3A5A" w14:paraId="532F5A53" w14:textId="12B3384D" w14:noSpellErr="1">
      <w:pPr>
        <w:pStyle w:val="ListParagraph"/>
        <w:numPr>
          <w:ilvl w:val="1"/>
          <w:numId w:val="2"/>
        </w:numPr>
        <w:rPr>
          <w:rFonts w:eastAsia="Calibri"/>
          <w:lang w:val="en-US"/>
        </w:rPr>
      </w:pPr>
      <w:r w:rsidRPr="6EF7DA90" w:rsidR="1BEF3A5A">
        <w:rPr>
          <w:rFonts w:eastAsia="Calibri"/>
          <w:lang w:val="en-US"/>
        </w:rPr>
        <w:t>REEF+ Learn will build targeted capacity to accelerate pipeline development of reef-positive enterprises and finance mechanisms.</w:t>
      </w:r>
    </w:p>
    <w:p w:rsidRPr="007E54DC" w:rsidR="1152E5B4" w:rsidP="6EF7DA90" w:rsidRDefault="1BEF3A5A" w14:paraId="76D80104" w14:textId="03F96199" w14:noSpellErr="1">
      <w:pPr>
        <w:pStyle w:val="ListParagraph"/>
        <w:numPr>
          <w:ilvl w:val="1"/>
          <w:numId w:val="2"/>
        </w:numPr>
        <w:rPr>
          <w:rFonts w:eastAsia="Calibri"/>
          <w:lang w:val="en-US"/>
        </w:rPr>
      </w:pPr>
      <w:r w:rsidRPr="6EF7DA90" w:rsidR="1BEF3A5A">
        <w:rPr>
          <w:rFonts w:eastAsia="Calibri"/>
          <w:lang w:val="en-US"/>
        </w:rPr>
        <w:t xml:space="preserve">REEF+ Invest seeks to facilitate access to finance for coral positive businesses and finance solutions from a diversity of donors and investors.  </w:t>
      </w:r>
    </w:p>
    <w:p w:rsidRPr="007E54DC" w:rsidR="1152E5B4" w:rsidP="6EF7DA90" w:rsidRDefault="1BEF3A5A" w14:paraId="4846A757" w14:textId="4410BCE3">
      <w:pPr>
        <w:pStyle w:val="ListParagraph"/>
        <w:numPr>
          <w:ilvl w:val="1"/>
          <w:numId w:val="2"/>
        </w:numPr>
        <w:rPr>
          <w:rFonts w:eastAsia="Calibri"/>
          <w:lang w:val="en-US"/>
        </w:rPr>
      </w:pPr>
      <w:r w:rsidRPr="6EF7DA90" w:rsidR="1BEF3A5A">
        <w:rPr>
          <w:rFonts w:eastAsia="Calibri"/>
          <w:color w:val="000000" w:themeColor="text1" w:themeTint="FF" w:themeShade="FF"/>
          <w:lang w:val="en-US"/>
        </w:rPr>
        <w:t xml:space="preserve">REEF+ Impact will provide an impact reporting application and database that facilitates rapid understanding of company, </w:t>
      </w:r>
      <w:r w:rsidRPr="6EF7DA90" w:rsidR="1BEF3A5A">
        <w:rPr>
          <w:rFonts w:eastAsia="Calibri"/>
          <w:color w:val="000000" w:themeColor="text1" w:themeTint="FF" w:themeShade="FF"/>
          <w:lang w:val="en-US"/>
        </w:rPr>
        <w:t>programme</w:t>
      </w:r>
      <w:r w:rsidRPr="6EF7DA90" w:rsidR="1BEF3A5A">
        <w:rPr>
          <w:rFonts w:eastAsia="Calibri"/>
          <w:color w:val="000000" w:themeColor="text1" w:themeTint="FF" w:themeShade="FF"/>
          <w:lang w:val="en-US"/>
        </w:rPr>
        <w:t>, and projects impacts on coral reefs.</w:t>
      </w:r>
    </w:p>
    <w:p w:rsidRPr="007E54DC" w:rsidR="006B5C93" w:rsidP="006B5C93" w:rsidRDefault="4D8AF4F2" w14:paraId="4C27EE46" w14:textId="512B2A27">
      <w:r w:rsidRPr="007E54DC">
        <w:rPr>
          <w:rStyle w:val="normaltextrun"/>
          <w:rFonts w:ascii="Calibri" w:hAnsi="Calibri" w:cs="Calibri"/>
        </w:rPr>
        <w:t xml:space="preserve">Defra and the GFCR team have worked at </w:t>
      </w:r>
      <w:r w:rsidRPr="007E54DC">
        <w:t xml:space="preserve">pace to </w:t>
      </w:r>
      <w:r w:rsidRPr="007E54DC" w:rsidR="18C45001">
        <w:t xml:space="preserve">also </w:t>
      </w:r>
      <w:r w:rsidRPr="007E54DC">
        <w:t xml:space="preserve">establish a Defra GFCR </w:t>
      </w:r>
      <w:proofErr w:type="spellStart"/>
      <w:r w:rsidRPr="007E54DC" w:rsidR="0A5BA0F2">
        <w:t>LogFrame</w:t>
      </w:r>
      <w:proofErr w:type="spellEnd"/>
      <w:r w:rsidRPr="007E54DC" w:rsidR="00617245">
        <w:rPr>
          <w:rStyle w:val="FootnoteReference"/>
        </w:rPr>
        <w:footnoteReference w:id="31"/>
      </w:r>
      <w:r w:rsidRPr="007E54DC">
        <w:t xml:space="preserve"> (Annex </w:t>
      </w:r>
      <w:r w:rsidRPr="007E54DC" w:rsidR="41390EC0">
        <w:t>J</w:t>
      </w:r>
      <w:r w:rsidRPr="007E54DC">
        <w:t xml:space="preserve">) that draws on the existing GFCR </w:t>
      </w:r>
      <w:proofErr w:type="spellStart"/>
      <w:r w:rsidRPr="007E54DC" w:rsidR="0A5BA0F2">
        <w:t>LogFrame</w:t>
      </w:r>
      <w:proofErr w:type="spellEnd"/>
      <w:r w:rsidRPr="007E54DC">
        <w:t xml:space="preserve"> to provide robust evidence and assurance that the Fund is performing well on the </w:t>
      </w:r>
      <w:proofErr w:type="gramStart"/>
      <w:r w:rsidRPr="007E54DC">
        <w:t>particular metrics</w:t>
      </w:r>
      <w:proofErr w:type="gramEnd"/>
      <w:r w:rsidRPr="007E54DC">
        <w:t xml:space="preserve"> that Defra is most focussed on</w:t>
      </w:r>
      <w:r w:rsidRPr="007E54DC" w:rsidR="18C45001">
        <w:t xml:space="preserve"> and to also better reflect the fund level and operational progress that is being made</w:t>
      </w:r>
      <w:r w:rsidRPr="007E54DC">
        <w:t>.</w:t>
      </w:r>
      <w:r w:rsidRPr="007E54DC" w:rsidR="6B44749A">
        <w:t xml:space="preserve"> This </w:t>
      </w:r>
      <w:proofErr w:type="spellStart"/>
      <w:r w:rsidRPr="007E54DC" w:rsidR="6B44749A">
        <w:t>LogFrame</w:t>
      </w:r>
      <w:proofErr w:type="spellEnd"/>
      <w:r w:rsidRPr="007E54DC" w:rsidR="6B44749A">
        <w:t xml:space="preserve"> will be a useful tool for Defra to monitor benefits realisation and</w:t>
      </w:r>
      <w:r w:rsidRPr="007E54DC">
        <w:t xml:space="preserve"> was designed to ensure that it doesn’t overly increase the burden of the GFCR team with regards to M&amp;E</w:t>
      </w:r>
      <w:r w:rsidRPr="007E54DC" w:rsidR="299031A6">
        <w:t>. The</w:t>
      </w:r>
      <w:r w:rsidRPr="007E54DC">
        <w:t xml:space="preserve"> indicators are designed to draw from information that will be gathered as a part of programme delivery (</w:t>
      </w:r>
      <w:r w:rsidRPr="007E54DC" w:rsidR="24E7563A">
        <w:t>e.g.,</w:t>
      </w:r>
      <w:r w:rsidRPr="007E54DC">
        <w:t xml:space="preserve"> via meeting notes, reflections in Annual Reviews, etc.) and which will require minimal additional work for either Defra or GFCR. </w:t>
      </w:r>
    </w:p>
    <w:p w:rsidRPr="007E54DC" w:rsidR="004A50C5" w:rsidP="004A50C5" w:rsidRDefault="004A50C5" w14:paraId="1F94E7A2" w14:textId="5165CFAB">
      <w:r w:rsidRPr="007E54DC">
        <w:rPr>
          <w:rStyle w:val="normaltextrun"/>
          <w:rFonts w:ascii="Calibri" w:hAnsi="Calibri" w:cs="Calibri"/>
          <w:color w:val="000000"/>
          <w:shd w:val="clear" w:color="auto" w:fill="FFFFFF"/>
        </w:rPr>
        <w:t xml:space="preserve">Three main pillars underpin the </w:t>
      </w:r>
      <w:r w:rsidRPr="007E54DC" w:rsidR="006B5C93">
        <w:rPr>
          <w:rStyle w:val="normaltextrun"/>
          <w:rFonts w:ascii="Calibri" w:hAnsi="Calibri" w:cs="Calibri"/>
          <w:color w:val="000000"/>
          <w:shd w:val="clear" w:color="auto" w:fill="FFFFFF"/>
        </w:rPr>
        <w:t xml:space="preserve">Defra GFCR </w:t>
      </w:r>
      <w:proofErr w:type="spellStart"/>
      <w:r w:rsidRPr="007E54DC" w:rsidR="00952594">
        <w:rPr>
          <w:rStyle w:val="normaltextrun"/>
          <w:rFonts w:ascii="Calibri" w:hAnsi="Calibri" w:cs="Calibri"/>
          <w:color w:val="000000"/>
          <w:shd w:val="clear" w:color="auto" w:fill="FFFFFF"/>
        </w:rPr>
        <w:t>LogFrame</w:t>
      </w:r>
      <w:proofErr w:type="spellEnd"/>
      <w:r w:rsidRPr="007E54DC">
        <w:rPr>
          <w:rStyle w:val="normaltextrun"/>
          <w:rFonts w:ascii="Calibri" w:hAnsi="Calibri" w:cs="Calibri"/>
          <w:color w:val="000000"/>
          <w:shd w:val="clear" w:color="auto" w:fill="FFFFFF"/>
        </w:rPr>
        <w:t xml:space="preserve">: (1) Financial Systems, (2) Ecological and (3) Livelihoods. Each pillar is supported by impact, </w:t>
      </w:r>
      <w:proofErr w:type="gramStart"/>
      <w:r w:rsidRPr="007E54DC">
        <w:rPr>
          <w:rStyle w:val="normaltextrun"/>
          <w:rFonts w:ascii="Calibri" w:hAnsi="Calibri" w:cs="Calibri"/>
          <w:color w:val="000000"/>
          <w:shd w:val="clear" w:color="auto" w:fill="FFFFFF"/>
        </w:rPr>
        <w:t>outcome</w:t>
      </w:r>
      <w:proofErr w:type="gramEnd"/>
      <w:r w:rsidRPr="007E54DC">
        <w:rPr>
          <w:rStyle w:val="normaltextrun"/>
          <w:rFonts w:ascii="Calibri" w:hAnsi="Calibri" w:cs="Calibri"/>
          <w:color w:val="000000"/>
          <w:shd w:val="clear" w:color="auto" w:fill="FFFFFF"/>
        </w:rPr>
        <w:t xml:space="preserve"> and output indicators</w:t>
      </w:r>
      <w:r w:rsidRPr="007E54DC" w:rsidR="00181D77">
        <w:rPr>
          <w:rStyle w:val="normaltextrun"/>
          <w:rFonts w:ascii="Calibri" w:hAnsi="Calibri" w:cs="Calibri"/>
          <w:color w:val="000000"/>
          <w:shd w:val="clear" w:color="auto" w:fill="FFFFFF"/>
        </w:rPr>
        <w:t xml:space="preserve"> (benefit profiles)</w:t>
      </w:r>
      <w:r w:rsidRPr="007E54DC">
        <w:rPr>
          <w:rStyle w:val="normaltextrun"/>
          <w:rFonts w:ascii="Calibri" w:hAnsi="Calibri" w:cs="Calibri"/>
          <w:color w:val="000000"/>
          <w:shd w:val="clear" w:color="auto" w:fill="FFFFFF"/>
        </w:rPr>
        <w:t xml:space="preserve"> which contribute to preventing the extinction of coral reefs by eliminating the financing gap and supporting interventions to secure coral reef survival, while also tackling biodiversity loss, and enhancing the climate resilience of the lives and livelihoods of the communities and businesses that depend on them. </w:t>
      </w:r>
      <w:r w:rsidRPr="007E54DC">
        <w:rPr>
          <w:rStyle w:val="eop"/>
          <w:rFonts w:ascii="Calibri" w:hAnsi="Calibri" w:cs="Calibri"/>
          <w:color w:val="000000"/>
          <w:shd w:val="clear" w:color="auto" w:fill="FFFFFF"/>
        </w:rPr>
        <w:t> </w:t>
      </w:r>
    </w:p>
    <w:p w:rsidRPr="007E54DC" w:rsidR="00B82220" w:rsidP="23A59346" w:rsidRDefault="7ED25798" w14:paraId="5D85E477" w14:textId="58F38360">
      <w:pPr>
        <w:rPr>
          <w:color w:val="2F5496" w:themeColor="accent1" w:themeShade="BF"/>
        </w:rPr>
      </w:pPr>
      <w:r w:rsidRPr="007E54DC">
        <w:t xml:space="preserve">We will review indicators as the programme develops </w:t>
      </w:r>
      <w:r w:rsidRPr="007E54DC" w:rsidR="69BB4810">
        <w:t xml:space="preserve">and </w:t>
      </w:r>
      <w:r w:rsidRPr="007E54DC">
        <w:t xml:space="preserve">will continue to work with GFCR to reassess </w:t>
      </w:r>
      <w:r w:rsidRPr="007E54DC" w:rsidR="69BB4810">
        <w:t xml:space="preserve">it against the fund level results framework, </w:t>
      </w:r>
      <w:proofErr w:type="spellStart"/>
      <w:r w:rsidRPr="007E54DC" w:rsidR="33970159">
        <w:t>ToC</w:t>
      </w:r>
      <w:proofErr w:type="spellEnd"/>
      <w:r w:rsidRPr="007E54DC" w:rsidR="33970159">
        <w:t>,</w:t>
      </w:r>
      <w:r w:rsidRPr="007E54DC">
        <w:t xml:space="preserve"> and programme indicators to ensure that they are measurable, achievable, </w:t>
      </w:r>
      <w:r w:rsidRPr="007E54DC" w:rsidR="61EA9C71">
        <w:t>realistic,</w:t>
      </w:r>
      <w:r w:rsidRPr="007E54DC">
        <w:t xml:space="preserve"> and timely.</w:t>
      </w:r>
      <w:r w:rsidRPr="007E54DC" w:rsidR="1AFED2F3">
        <w:t xml:space="preserve"> </w:t>
      </w:r>
      <w:r w:rsidRPr="007E54DC" w:rsidR="1AFED2F3">
        <w:rPr>
          <w:rFonts w:ascii="Calibri" w:hAnsi="Calibri" w:eastAsia="Calibri" w:cs="Calibri"/>
          <w:color w:val="000000" w:themeColor="text1"/>
        </w:rPr>
        <w:t>Performance will be monitored</w:t>
      </w:r>
      <w:r w:rsidRPr="007E54DC" w:rsidR="6F687400">
        <w:rPr>
          <w:rFonts w:ascii="Calibri" w:hAnsi="Calibri" w:eastAsia="Calibri" w:cs="Calibri"/>
          <w:color w:val="000000" w:themeColor="text1"/>
        </w:rPr>
        <w:t xml:space="preserve"> by convening agents</w:t>
      </w:r>
      <w:r w:rsidRPr="007E54DC" w:rsidR="1AFED2F3">
        <w:rPr>
          <w:rFonts w:ascii="Calibri" w:hAnsi="Calibri" w:eastAsia="Calibri" w:cs="Calibri"/>
          <w:color w:val="000000" w:themeColor="text1"/>
        </w:rPr>
        <w:t xml:space="preserve"> for each project in line with the GFCR results framework throughout the year</w:t>
      </w:r>
      <w:r w:rsidRPr="007E54DC" w:rsidR="5D3D1518">
        <w:rPr>
          <w:rFonts w:ascii="Calibri" w:hAnsi="Calibri" w:eastAsia="Calibri" w:cs="Calibri"/>
          <w:color w:val="000000" w:themeColor="text1"/>
        </w:rPr>
        <w:t>. P</w:t>
      </w:r>
      <w:r w:rsidRPr="007E54DC" w:rsidR="1AFED2F3">
        <w:rPr>
          <w:rFonts w:ascii="Calibri" w:hAnsi="Calibri" w:eastAsia="Calibri" w:cs="Calibri"/>
          <w:color w:val="000000" w:themeColor="text1"/>
        </w:rPr>
        <w:t xml:space="preserve">rogress </w:t>
      </w:r>
      <w:r w:rsidRPr="007E54DC" w:rsidR="6462D955">
        <w:rPr>
          <w:rFonts w:ascii="Calibri" w:hAnsi="Calibri" w:eastAsia="Calibri" w:cs="Calibri"/>
          <w:color w:val="000000" w:themeColor="text1"/>
        </w:rPr>
        <w:t>will be</w:t>
      </w:r>
      <w:r w:rsidRPr="007E54DC" w:rsidR="1AFED2F3">
        <w:rPr>
          <w:rFonts w:ascii="Calibri" w:hAnsi="Calibri" w:eastAsia="Calibri" w:cs="Calibri"/>
          <w:color w:val="000000" w:themeColor="text1"/>
        </w:rPr>
        <w:t xml:space="preserve"> reviewed </w:t>
      </w:r>
      <w:r w:rsidRPr="007E54DC" w:rsidR="5DB22FF0">
        <w:rPr>
          <w:rFonts w:ascii="Calibri" w:hAnsi="Calibri" w:eastAsia="Calibri" w:cs="Calibri"/>
          <w:color w:val="000000" w:themeColor="text1"/>
        </w:rPr>
        <w:t xml:space="preserve">and discussed </w:t>
      </w:r>
      <w:r w:rsidRPr="007E54DC" w:rsidR="1AFED2F3">
        <w:rPr>
          <w:rFonts w:ascii="Calibri" w:hAnsi="Calibri" w:eastAsia="Calibri" w:cs="Calibri"/>
          <w:color w:val="000000" w:themeColor="text1"/>
        </w:rPr>
        <w:t>at quarterly Executive Board meetings</w:t>
      </w:r>
      <w:r w:rsidRPr="007E54DC" w:rsidR="07E831CA">
        <w:rPr>
          <w:rFonts w:ascii="Calibri" w:hAnsi="Calibri" w:eastAsia="Calibri" w:cs="Calibri"/>
          <w:color w:val="000000" w:themeColor="text1"/>
        </w:rPr>
        <w:t xml:space="preserve"> allowing</w:t>
      </w:r>
      <w:r w:rsidRPr="007E54DC" w:rsidR="1AFED2F3">
        <w:rPr>
          <w:rFonts w:ascii="Calibri" w:hAnsi="Calibri" w:eastAsia="Calibri" w:cs="Calibri"/>
          <w:color w:val="000000" w:themeColor="text1"/>
        </w:rPr>
        <w:t xml:space="preserve"> us to identify performance issues promptly. If comes to light that multiple projects are not meeting specific outputs, we will revaluate our output indictors and investigate reasons why.</w:t>
      </w:r>
    </w:p>
    <w:p w:rsidRPr="007E54DC" w:rsidR="00B82220" w:rsidP="6EF7DA90" w:rsidRDefault="00B82220" w14:paraId="749A9A4B" w14:textId="4A915943" w14:noSpellErr="1">
      <w:pPr>
        <w:pStyle w:val="Heading3"/>
        <w:rPr>
          <w:rStyle w:val="Strong"/>
          <w:b w:val="0"/>
          <w:bCs w:val="0"/>
        </w:rPr>
      </w:pPr>
      <w:bookmarkStart w:name="_Toc1986125108" w:id="1342708651"/>
      <w:r w:rsidRPr="6EF7DA90" w:rsidR="00B82220">
        <w:rPr>
          <w:rStyle w:val="Strong"/>
          <w:b w:val="0"/>
          <w:bCs w:val="0"/>
        </w:rPr>
        <w:t>Monitoring Defra’s contribution to the GFCR</w:t>
      </w:r>
      <w:bookmarkEnd w:id="1342708651"/>
    </w:p>
    <w:p w:rsidRPr="007E54DC" w:rsidR="00B82220" w:rsidP="00B82220" w:rsidRDefault="006F746B" w14:paraId="6A1E331E" w14:textId="69047C95">
      <w:pPr>
        <w:rPr>
          <w:rStyle w:val="Strong"/>
          <w:b w:val="0"/>
          <w:bCs w:val="0"/>
        </w:rPr>
      </w:pPr>
      <w:r w:rsidRPr="007E54DC">
        <w:t xml:space="preserve">Throughout the development of the </w:t>
      </w:r>
      <w:proofErr w:type="spellStart"/>
      <w:r w:rsidRPr="007E54DC" w:rsidR="00952594">
        <w:t>LogFrame</w:t>
      </w:r>
      <w:proofErr w:type="spellEnd"/>
      <w:r w:rsidRPr="007E54DC" w:rsidR="001302EF">
        <w:t xml:space="preserve"> we</w:t>
      </w:r>
      <w:r w:rsidRPr="007E54DC" w:rsidR="00B82220">
        <w:t xml:space="preserve"> identified pathways of Defra influence and created indicators to capture the outputs/ outcomes that we intend to track (see Table </w:t>
      </w:r>
      <w:r w:rsidRPr="007E54DC" w:rsidR="00EE1CBB">
        <w:t>1</w:t>
      </w:r>
      <w:r w:rsidR="000473E7">
        <w:t>2</w:t>
      </w:r>
      <w:r w:rsidRPr="007E54DC" w:rsidR="00B82220">
        <w:t xml:space="preserve"> below). </w:t>
      </w:r>
      <w:r w:rsidRPr="007E54DC">
        <w:t xml:space="preserve"> As the GFCR Grant Fund is a pooled fund it is challenging to explicitly show how Defra funding is driving change and positively impacting coral reef environments and communities. These indicators, therefore, are designed to highlight Defra’s influence/ impact on the programme while </w:t>
      </w:r>
      <w:r w:rsidRPr="007E54DC" w:rsidR="001302EF">
        <w:t>adding minimum</w:t>
      </w:r>
      <w:r w:rsidRPr="007E54DC">
        <w:t xml:space="preserve"> reporting burden on GFCR.</w:t>
      </w:r>
    </w:p>
    <w:tbl>
      <w:tblPr>
        <w:tblStyle w:val="TableGrid"/>
        <w:tblW w:w="5000" w:type="pct"/>
        <w:tblLook w:val="04A0" w:firstRow="1" w:lastRow="0" w:firstColumn="1" w:lastColumn="0" w:noHBand="0" w:noVBand="1"/>
      </w:tblPr>
      <w:tblGrid>
        <w:gridCol w:w="2252"/>
        <w:gridCol w:w="3125"/>
        <w:gridCol w:w="3629"/>
      </w:tblGrid>
      <w:tr w:rsidRPr="007E54DC" w:rsidR="00B82220" w:rsidTr="00F4099E" w14:paraId="1CB989AB" w14:textId="77777777">
        <w:trPr>
          <w:trHeight w:val="255"/>
          <w:tblHeader/>
        </w:trPr>
        <w:tc>
          <w:tcPr>
            <w:tcW w:w="1250" w:type="pct"/>
            <w:hideMark/>
          </w:tcPr>
          <w:p w:rsidRPr="007E54DC" w:rsidR="00B82220" w:rsidP="00F4099E" w:rsidRDefault="00B82220" w14:paraId="239BFA1D" w14:textId="77777777">
            <w:pPr>
              <w:jc w:val="left"/>
              <w:rPr>
                <w:b/>
                <w:bCs/>
                <w:sz w:val="22"/>
                <w:szCs w:val="22"/>
              </w:rPr>
            </w:pPr>
            <w:r w:rsidRPr="007E54DC">
              <w:rPr>
                <w:b/>
                <w:bCs/>
                <w:sz w:val="22"/>
                <w:szCs w:val="22"/>
              </w:rPr>
              <w:t>Description</w:t>
            </w:r>
          </w:p>
        </w:tc>
        <w:tc>
          <w:tcPr>
            <w:tcW w:w="1735" w:type="pct"/>
            <w:hideMark/>
          </w:tcPr>
          <w:p w:rsidRPr="007E54DC" w:rsidR="00B82220" w:rsidP="00F4099E" w:rsidRDefault="00B82220" w14:paraId="31D6F9CF" w14:textId="77777777">
            <w:pPr>
              <w:jc w:val="left"/>
              <w:rPr>
                <w:b/>
                <w:bCs/>
                <w:sz w:val="22"/>
                <w:szCs w:val="22"/>
              </w:rPr>
            </w:pPr>
            <w:r w:rsidRPr="007E54DC">
              <w:rPr>
                <w:b/>
                <w:bCs/>
                <w:sz w:val="22"/>
                <w:szCs w:val="22"/>
              </w:rPr>
              <w:t>Example(s)</w:t>
            </w:r>
          </w:p>
        </w:tc>
        <w:tc>
          <w:tcPr>
            <w:tcW w:w="2015" w:type="pct"/>
            <w:hideMark/>
          </w:tcPr>
          <w:p w:rsidRPr="007E54DC" w:rsidR="00B82220" w:rsidP="00F4099E" w:rsidRDefault="00B82220" w14:paraId="1F3A5AC9" w14:textId="77777777">
            <w:pPr>
              <w:jc w:val="left"/>
              <w:rPr>
                <w:b/>
                <w:bCs/>
                <w:sz w:val="22"/>
                <w:szCs w:val="22"/>
              </w:rPr>
            </w:pPr>
            <w:r w:rsidRPr="007E54DC">
              <w:rPr>
                <w:b/>
                <w:bCs/>
                <w:sz w:val="22"/>
                <w:szCs w:val="22"/>
              </w:rPr>
              <w:t>Defra Actions</w:t>
            </w:r>
          </w:p>
        </w:tc>
      </w:tr>
      <w:tr w:rsidRPr="007E54DC" w:rsidR="00B82220" w:rsidTr="00F4099E" w14:paraId="38D29FD8" w14:textId="77777777">
        <w:trPr>
          <w:trHeight w:val="765"/>
        </w:trPr>
        <w:tc>
          <w:tcPr>
            <w:tcW w:w="1250" w:type="pct"/>
            <w:hideMark/>
          </w:tcPr>
          <w:p w:rsidRPr="007E54DC" w:rsidR="00B82220" w:rsidP="00F4099E" w:rsidRDefault="00B82220" w14:paraId="14E324E3" w14:textId="77777777">
            <w:pPr>
              <w:jc w:val="left"/>
              <w:rPr>
                <w:sz w:val="22"/>
                <w:szCs w:val="22"/>
              </w:rPr>
            </w:pPr>
            <w:r w:rsidRPr="007E54DC">
              <w:rPr>
                <w:b/>
                <w:bCs/>
                <w:sz w:val="22"/>
                <w:szCs w:val="22"/>
              </w:rPr>
              <w:t>Strategic influence on programme design</w:t>
            </w:r>
            <w:r w:rsidRPr="007E54DC">
              <w:rPr>
                <w:sz w:val="22"/>
                <w:szCs w:val="22"/>
              </w:rPr>
              <w:t xml:space="preserve"> in line with HMG priorities </w:t>
            </w:r>
          </w:p>
        </w:tc>
        <w:tc>
          <w:tcPr>
            <w:tcW w:w="1735" w:type="pct"/>
            <w:hideMark/>
          </w:tcPr>
          <w:p w:rsidRPr="007E54DC" w:rsidR="00B82220" w:rsidP="00F4099E" w:rsidRDefault="00B82220" w14:paraId="690AE20B" w14:textId="77777777">
            <w:pPr>
              <w:jc w:val="left"/>
              <w:rPr>
                <w:sz w:val="22"/>
                <w:szCs w:val="22"/>
              </w:rPr>
            </w:pPr>
            <w:r w:rsidRPr="007E54DC">
              <w:rPr>
                <w:sz w:val="22"/>
                <w:szCs w:val="22"/>
              </w:rPr>
              <w:t xml:space="preserve">Defra use their seat on the GFCR board to rigorously assess project proposals, with a focus on inclusion - particularly gender empowerment </w:t>
            </w:r>
          </w:p>
        </w:tc>
        <w:tc>
          <w:tcPr>
            <w:tcW w:w="2015" w:type="pct"/>
            <w:hideMark/>
          </w:tcPr>
          <w:p w:rsidRPr="007E54DC" w:rsidR="00B82220" w:rsidP="00F4099E" w:rsidRDefault="00B82220" w14:paraId="618EA812" w14:textId="77777777">
            <w:pPr>
              <w:jc w:val="left"/>
              <w:rPr>
                <w:sz w:val="22"/>
                <w:szCs w:val="22"/>
              </w:rPr>
            </w:pPr>
            <w:r w:rsidRPr="007E54DC">
              <w:rPr>
                <w:sz w:val="22"/>
                <w:szCs w:val="22"/>
              </w:rPr>
              <w:t>Ongoing sense check of plans regarding GFCR Gender Strategy, baselining, targets, etc. and consistent challenge of proposals to ensure gender considerations are mainstreamed</w:t>
            </w:r>
          </w:p>
        </w:tc>
      </w:tr>
      <w:tr w:rsidRPr="007E54DC" w:rsidR="00B82220" w:rsidTr="00F4099E" w14:paraId="60C503C9" w14:textId="77777777">
        <w:trPr>
          <w:trHeight w:val="1020"/>
        </w:trPr>
        <w:tc>
          <w:tcPr>
            <w:tcW w:w="1250" w:type="pct"/>
            <w:hideMark/>
          </w:tcPr>
          <w:p w:rsidRPr="007E54DC" w:rsidR="00B82220" w:rsidP="00F4099E" w:rsidRDefault="00B82220" w14:paraId="034AEB21" w14:textId="77777777">
            <w:pPr>
              <w:jc w:val="left"/>
              <w:rPr>
                <w:b/>
                <w:bCs/>
                <w:sz w:val="22"/>
                <w:szCs w:val="22"/>
              </w:rPr>
            </w:pPr>
            <w:r w:rsidRPr="007E54DC">
              <w:rPr>
                <w:b/>
                <w:bCs/>
                <w:sz w:val="22"/>
                <w:szCs w:val="22"/>
              </w:rPr>
              <w:t>Influence on programme delivery</w:t>
            </w:r>
          </w:p>
        </w:tc>
        <w:tc>
          <w:tcPr>
            <w:tcW w:w="1735" w:type="pct"/>
            <w:hideMark/>
          </w:tcPr>
          <w:p w:rsidRPr="007E54DC" w:rsidR="00B82220" w:rsidP="00F4099E" w:rsidRDefault="00B82220" w14:paraId="6C2AF34E" w14:textId="77777777">
            <w:pPr>
              <w:jc w:val="left"/>
              <w:rPr>
                <w:sz w:val="22"/>
                <w:szCs w:val="22"/>
              </w:rPr>
            </w:pPr>
            <w:r w:rsidRPr="007E54DC">
              <w:rPr>
                <w:sz w:val="22"/>
                <w:szCs w:val="22"/>
              </w:rPr>
              <w:t>BPF-backed specialists influence technical approaches adopted by projects</w:t>
            </w:r>
          </w:p>
          <w:p w:rsidRPr="007E54DC" w:rsidR="00B82220" w:rsidP="00F4099E" w:rsidRDefault="00B82220" w14:paraId="46C4D885" w14:textId="77777777">
            <w:pPr>
              <w:jc w:val="left"/>
              <w:rPr>
                <w:sz w:val="22"/>
                <w:szCs w:val="22"/>
              </w:rPr>
            </w:pPr>
            <w:r w:rsidRPr="007E54DC">
              <w:rPr>
                <w:sz w:val="22"/>
                <w:szCs w:val="22"/>
              </w:rPr>
              <w:t>Defra achieve greater ambition (and specificity) in baseline development and milestones</w:t>
            </w:r>
          </w:p>
        </w:tc>
        <w:tc>
          <w:tcPr>
            <w:tcW w:w="2015" w:type="pct"/>
            <w:hideMark/>
          </w:tcPr>
          <w:p w:rsidRPr="007E54DC" w:rsidR="00B82220" w:rsidP="00F4099E" w:rsidRDefault="00B82220" w14:paraId="08B3475A" w14:textId="77777777">
            <w:pPr>
              <w:jc w:val="left"/>
              <w:rPr>
                <w:sz w:val="22"/>
                <w:szCs w:val="22"/>
              </w:rPr>
            </w:pPr>
            <w:r w:rsidRPr="007E54DC">
              <w:rPr>
                <w:sz w:val="22"/>
                <w:szCs w:val="22"/>
              </w:rPr>
              <w:t>Formalise relationship and role in governance of ORRAA and COAST to ensure coherence and enhanced coordination of “one-HMG” programming in countries of overlap</w:t>
            </w:r>
          </w:p>
        </w:tc>
      </w:tr>
      <w:tr w:rsidRPr="007E54DC" w:rsidR="00B82220" w:rsidTr="00F4099E" w14:paraId="77F4DC8D" w14:textId="77777777">
        <w:trPr>
          <w:trHeight w:val="1020"/>
        </w:trPr>
        <w:tc>
          <w:tcPr>
            <w:tcW w:w="1250" w:type="pct"/>
            <w:hideMark/>
          </w:tcPr>
          <w:p w:rsidRPr="007E54DC" w:rsidR="00B82220" w:rsidP="00F4099E" w:rsidRDefault="00B82220" w14:paraId="012F29CA" w14:textId="77777777">
            <w:pPr>
              <w:jc w:val="left"/>
              <w:rPr>
                <w:sz w:val="22"/>
                <w:szCs w:val="22"/>
              </w:rPr>
            </w:pPr>
            <w:r w:rsidRPr="007E54DC">
              <w:rPr>
                <w:b/>
                <w:bCs/>
                <w:sz w:val="22"/>
                <w:szCs w:val="22"/>
              </w:rPr>
              <w:t>Technical support</w:t>
            </w:r>
            <w:r w:rsidRPr="007E54DC">
              <w:rPr>
                <w:sz w:val="22"/>
                <w:szCs w:val="22"/>
              </w:rPr>
              <w:t xml:space="preserve"> </w:t>
            </w:r>
            <w:r w:rsidRPr="007E54DC">
              <w:rPr>
                <w:b/>
                <w:bCs/>
                <w:sz w:val="22"/>
                <w:szCs w:val="22"/>
              </w:rPr>
              <w:t>(direct)</w:t>
            </w:r>
            <w:r w:rsidRPr="007E54DC">
              <w:rPr>
                <w:sz w:val="22"/>
                <w:szCs w:val="22"/>
              </w:rPr>
              <w:t xml:space="preserve"> and / or knowledge exchange (i.e., from the BPF)</w:t>
            </w:r>
          </w:p>
        </w:tc>
        <w:tc>
          <w:tcPr>
            <w:tcW w:w="1735" w:type="pct"/>
            <w:hideMark/>
          </w:tcPr>
          <w:p w:rsidRPr="007E54DC" w:rsidR="00B82220" w:rsidP="00F4099E" w:rsidRDefault="00B82220" w14:paraId="0962CFDA" w14:textId="77777777">
            <w:pPr>
              <w:jc w:val="left"/>
              <w:rPr>
                <w:sz w:val="22"/>
                <w:szCs w:val="22"/>
              </w:rPr>
            </w:pPr>
            <w:r w:rsidRPr="007E54DC">
              <w:rPr>
                <w:sz w:val="22"/>
                <w:szCs w:val="22"/>
              </w:rPr>
              <w:t>Draw on Coral and MPA policy specialists from across Defra and FCDO to help test approach to MPA workplans and guidance</w:t>
            </w:r>
          </w:p>
        </w:tc>
        <w:tc>
          <w:tcPr>
            <w:tcW w:w="2015" w:type="pct"/>
            <w:hideMark/>
          </w:tcPr>
          <w:p w:rsidRPr="007E54DC" w:rsidR="00B82220" w:rsidP="00F4099E" w:rsidRDefault="00B82220" w14:paraId="2ECC8AC8" w14:textId="77777777">
            <w:pPr>
              <w:jc w:val="left"/>
              <w:rPr>
                <w:sz w:val="22"/>
                <w:szCs w:val="22"/>
              </w:rPr>
            </w:pPr>
            <w:r w:rsidRPr="007E54DC">
              <w:rPr>
                <w:sz w:val="22"/>
                <w:szCs w:val="22"/>
              </w:rPr>
              <w:t>Ongoing integration of policy team advice on project proposals ahead of each Executive Board.</w:t>
            </w:r>
          </w:p>
        </w:tc>
      </w:tr>
      <w:tr w:rsidRPr="007E54DC" w:rsidR="00B82220" w:rsidTr="00F4099E" w14:paraId="34BBD7D3" w14:textId="77777777">
        <w:trPr>
          <w:trHeight w:val="1275"/>
        </w:trPr>
        <w:tc>
          <w:tcPr>
            <w:tcW w:w="1250" w:type="pct"/>
            <w:hideMark/>
          </w:tcPr>
          <w:p w:rsidRPr="007E54DC" w:rsidR="00B82220" w:rsidP="00F4099E" w:rsidRDefault="00B82220" w14:paraId="07BE1722" w14:textId="77777777">
            <w:pPr>
              <w:jc w:val="left"/>
              <w:rPr>
                <w:sz w:val="22"/>
                <w:szCs w:val="22"/>
              </w:rPr>
            </w:pPr>
            <w:r w:rsidRPr="007E54DC">
              <w:rPr>
                <w:b/>
                <w:bCs/>
                <w:sz w:val="22"/>
                <w:szCs w:val="22"/>
              </w:rPr>
              <w:t>Technical support (indirect)</w:t>
            </w:r>
            <w:r w:rsidRPr="007E54DC">
              <w:rPr>
                <w:sz w:val="22"/>
                <w:szCs w:val="22"/>
              </w:rPr>
              <w:t xml:space="preserve"> and/ or knowledge exchange (i.e., using networks)</w:t>
            </w:r>
          </w:p>
        </w:tc>
        <w:tc>
          <w:tcPr>
            <w:tcW w:w="1735" w:type="pct"/>
            <w:hideMark/>
          </w:tcPr>
          <w:p w:rsidRPr="007E54DC" w:rsidR="00B82220" w:rsidP="00F4099E" w:rsidRDefault="00B82220" w14:paraId="228A1FA3" w14:textId="77777777">
            <w:pPr>
              <w:jc w:val="left"/>
              <w:rPr>
                <w:sz w:val="22"/>
                <w:szCs w:val="22"/>
              </w:rPr>
            </w:pPr>
            <w:r w:rsidRPr="007E54DC">
              <w:rPr>
                <w:sz w:val="22"/>
                <w:szCs w:val="22"/>
              </w:rPr>
              <w:t>Sourcing and directing GFCR towards financial advice/ expertise available via other routes in BPF network</w:t>
            </w:r>
          </w:p>
        </w:tc>
        <w:tc>
          <w:tcPr>
            <w:tcW w:w="2015" w:type="pct"/>
            <w:hideMark/>
          </w:tcPr>
          <w:p w:rsidRPr="007E54DC" w:rsidR="00B82220" w:rsidP="00EE1CBB" w:rsidRDefault="00B82220" w14:paraId="27EC711B" w14:textId="77777777">
            <w:pPr>
              <w:keepNext/>
              <w:jc w:val="left"/>
              <w:rPr>
                <w:sz w:val="22"/>
                <w:szCs w:val="22"/>
              </w:rPr>
            </w:pPr>
            <w:r w:rsidRPr="007E54DC">
              <w:rPr>
                <w:sz w:val="22"/>
                <w:szCs w:val="22"/>
              </w:rPr>
              <w:t>TBD but could include creating links with regional or national networks such as the International Partnership for Blue Carbon (IPBC), Coral Research &amp; Development Accelerator Platform (CORDAP), and seeking advice from ICRI.</w:t>
            </w:r>
          </w:p>
        </w:tc>
      </w:tr>
    </w:tbl>
    <w:p w:rsidRPr="007E54DC" w:rsidR="00EE1CBB" w:rsidRDefault="00EE1CBB" w14:paraId="21EAA62E" w14:textId="079452C1">
      <w:pPr>
        <w:pStyle w:val="Caption"/>
      </w:pPr>
      <w:bookmarkStart w:name="_Toc132104922" w:id="69"/>
      <w:r w:rsidRPr="007E54DC">
        <w:t xml:space="preserve">Table </w:t>
      </w:r>
      <w:r w:rsidRPr="007E54DC">
        <w:fldChar w:fldCharType="begin"/>
      </w:r>
      <w:r w:rsidRPr="007E54DC">
        <w:instrText>SEQ Table \* ARABIC</w:instrText>
      </w:r>
      <w:r w:rsidRPr="007E54DC">
        <w:fldChar w:fldCharType="separate"/>
      </w:r>
      <w:r w:rsidR="00B9356F">
        <w:rPr>
          <w:noProof/>
        </w:rPr>
        <w:t>12</w:t>
      </w:r>
      <w:r w:rsidRPr="007E54DC">
        <w:fldChar w:fldCharType="end"/>
      </w:r>
      <w:r w:rsidR="000473E7">
        <w:t>2</w:t>
      </w:r>
      <w:r w:rsidRPr="007E54DC">
        <w:t xml:space="preserve"> - Pathways of Defra Impact</w:t>
      </w:r>
      <w:bookmarkEnd w:id="69"/>
    </w:p>
    <w:p w:rsidRPr="007E54DC" w:rsidR="006E055F" w:rsidP="00C92CBA" w:rsidRDefault="006E055F" w14:paraId="1C9E2EE2" w14:textId="34778EE9" w14:noSpellErr="1">
      <w:pPr>
        <w:pStyle w:val="Heading3"/>
        <w:spacing w:before="240"/>
        <w:rPr/>
      </w:pPr>
      <w:bookmarkStart w:name="_Toc1900805038" w:id="268860003"/>
      <w:r w:rsidR="006E055F">
        <w:rPr/>
        <w:t>Funding Window Systems</w:t>
      </w:r>
      <w:bookmarkEnd w:id="268860003"/>
    </w:p>
    <w:p w:rsidRPr="007E54DC" w:rsidR="006E055F" w:rsidP="4DC0520A" w:rsidRDefault="006E055F" w14:paraId="5A06EFA9" w14:textId="1F244186">
      <w:pPr>
        <w:rPr>
          <w:rFonts w:ascii="Calibri" w:hAnsi="Calibri" w:eastAsia="Calibri" w:cs="Calibri"/>
        </w:rPr>
      </w:pPr>
      <w:r w:rsidRPr="007E54DC">
        <w:t xml:space="preserve">The key shift in the GFCR </w:t>
      </w:r>
      <w:r w:rsidRPr="007E54DC" w:rsidR="00B82220">
        <w:t xml:space="preserve">management structure </w:t>
      </w:r>
      <w:r w:rsidRPr="007E54DC">
        <w:t xml:space="preserve">is no longer using a Grant Window and Investment Window structure but rather a GFCR Grant Fund and </w:t>
      </w:r>
      <w:r w:rsidRPr="007E54DC" w:rsidR="00493DD9">
        <w:t>Investment</w:t>
      </w:r>
      <w:r w:rsidRPr="007E54DC">
        <w:t xml:space="preserve"> </w:t>
      </w:r>
      <w:r w:rsidRPr="007E54DC" w:rsidR="083C171B">
        <w:t>Fund</w:t>
      </w:r>
      <w:r w:rsidRPr="007E54DC" w:rsidR="00EE1CBB">
        <w:t xml:space="preserve"> (Figure 2)</w:t>
      </w:r>
      <w:r w:rsidRPr="007E54DC" w:rsidR="083C171B">
        <w:t xml:space="preserve">. </w:t>
      </w:r>
      <w:r w:rsidRPr="007E54DC" w:rsidR="65340073">
        <w:rPr>
          <w:rFonts w:ascii="Calibri" w:hAnsi="Calibri" w:eastAsia="Calibri" w:cs="Calibri"/>
        </w:rPr>
        <w:t>These two core financial vehicles work under a shared Theory of Change: Grant Fund – offering grants, concessional loans, guarantees and technical assistance</w:t>
      </w:r>
      <w:r w:rsidRPr="007E54DC" w:rsidR="77CC09CE">
        <w:rPr>
          <w:rFonts w:ascii="Calibri" w:hAnsi="Calibri" w:eastAsia="Calibri" w:cs="Calibri"/>
        </w:rPr>
        <w:t>;</w:t>
      </w:r>
      <w:r w:rsidRPr="007E54DC" w:rsidR="65340073">
        <w:rPr>
          <w:rFonts w:ascii="Calibri" w:hAnsi="Calibri" w:eastAsia="Calibri" w:cs="Calibri"/>
        </w:rPr>
        <w:t xml:space="preserve"> and</w:t>
      </w:r>
      <w:r w:rsidRPr="007E54DC" w:rsidR="7BEC41E1">
        <w:rPr>
          <w:rFonts w:ascii="Calibri" w:hAnsi="Calibri" w:eastAsia="Calibri" w:cs="Calibri"/>
        </w:rPr>
        <w:t xml:space="preserve"> the</w:t>
      </w:r>
      <w:r w:rsidRPr="007E54DC" w:rsidR="65340073">
        <w:rPr>
          <w:rFonts w:ascii="Calibri" w:hAnsi="Calibri" w:eastAsia="Calibri" w:cs="Calibri"/>
        </w:rPr>
        <w:t xml:space="preserve"> Investment Fund – making equity investments, including traditional private equity, hybrid investments and venture capital. Both aim to have complementary interventions between GFCR Grant Fund programmes and Investment Fund investments in priority coral reef areas.</w:t>
      </w:r>
    </w:p>
    <w:p w:rsidRPr="007E54DC" w:rsidR="001978B9" w:rsidP="00C92CBA" w:rsidRDefault="006E055F" w14:paraId="338AD454" w14:textId="3D9A75BC">
      <w:pPr>
        <w:rPr>
          <w:rFonts w:ascii="Calibri" w:hAnsi="Calibri" w:eastAsia="Calibri" w:cs="Calibri"/>
        </w:rPr>
      </w:pPr>
      <w:r w:rsidRPr="007E54DC">
        <w:t xml:space="preserve">This Investment </w:t>
      </w:r>
      <w:r w:rsidRPr="007E54DC" w:rsidR="0AA10681">
        <w:t>Fund</w:t>
      </w:r>
      <w:r w:rsidRPr="007E54DC">
        <w:t xml:space="preserve"> is the Toolbox of different sources of investment for GFCR Grant Fund pipeline, which is composed of the GFCR Equity Fund, Microfinance Institutions, Impact Investment firms, Commercial Banks, and Development Banks. The GFCR Secretariat and Equity Fund team are working to map out initiatives and organizations that can source these different types of capital and build </w:t>
      </w:r>
      <w:r w:rsidRPr="007E54DC">
        <w:t xml:space="preserve">formal and informal partnerships to connect GFCR Grant Fund pipeline to sources of investment capital. They include for example, ADB’s new Blue Impact initiative, Commonwealth Blue </w:t>
      </w:r>
      <w:r w:rsidRPr="007E54DC" w:rsidR="001302EF">
        <w:t>Charter,</w:t>
      </w:r>
      <w:r w:rsidRPr="007E54DC">
        <w:t xml:space="preserve"> and regional and country microfinance institutions.</w:t>
      </w:r>
    </w:p>
    <w:p w:rsidRPr="007E54DC" w:rsidR="002B200D" w:rsidP="00C92CBA" w:rsidRDefault="1B7064C8" w14:paraId="5D535604" w14:textId="5B4BF1BC">
      <w:r w:rsidRPr="007E54DC">
        <w:t>Due to the securing of $125m for the</w:t>
      </w:r>
      <w:r w:rsidRPr="007E54DC" w:rsidR="00231425">
        <w:t xml:space="preserve"> Green Climate Fund (GCF)</w:t>
      </w:r>
      <w:r w:rsidRPr="007E54DC" w:rsidR="65A0AAE6">
        <w:t xml:space="preserve"> </w:t>
      </w:r>
      <w:r w:rsidRPr="007E54DC">
        <w:t xml:space="preserve">within the Investment Fund, GFCR have requested the UK invest into the Grant Fund only; showing the GFCR have a strong awareness of where funding is required and where the UK can add value, rather than fundraising with no direction. </w:t>
      </w:r>
      <w:r w:rsidRPr="007E54DC" w:rsidR="11FC5489">
        <w:t>The blended approach of the Fund creates efficiencies of scale, reduces dependence on limited and short-term grant funding, accelerates the investment readiness of projects, reduces commercial and environmental-social-governance risk through a diversified portfolio and works to establish local entities for improved representation and participation of local stakeholders</w:t>
      </w:r>
      <w:r w:rsidRPr="007E54DC" w:rsidR="001731CD">
        <w:t>.</w:t>
      </w:r>
    </w:p>
    <w:p w:rsidRPr="007E54DC" w:rsidR="4D30FCBF" w:rsidP="4D30FCBF" w:rsidRDefault="4D30FCBF" w14:paraId="2D0EC4C7" w14:textId="2E68D862">
      <w:pPr>
        <w:spacing w:after="0"/>
        <w:rPr>
          <w:rFonts w:ascii="Calibri" w:hAnsi="Calibri" w:eastAsia="Calibri" w:cs="Calibri"/>
        </w:rPr>
      </w:pPr>
    </w:p>
    <w:p w:rsidRPr="007E54DC" w:rsidR="4D30FCBF" w:rsidP="00C92CBA" w:rsidRDefault="4D30FCBF" w14:paraId="04E25B0B" w14:textId="29B81DB2">
      <w:pPr>
        <w:spacing w:after="0"/>
        <w:jc w:val="center"/>
      </w:pPr>
      <w:r w:rsidRPr="007E54DC">
        <w:rPr>
          <w:noProof/>
        </w:rPr>
        <w:drawing>
          <wp:inline distT="0" distB="0" distL="0" distR="0" wp14:anchorId="2F3F6262" wp14:editId="196AAD31">
            <wp:extent cx="4867275" cy="2727702"/>
            <wp:effectExtent l="0" t="0" r="0" b="0"/>
            <wp:docPr id="171741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872349" cy="2730545"/>
                    </a:xfrm>
                    <a:prstGeom prst="rect">
                      <a:avLst/>
                    </a:prstGeom>
                  </pic:spPr>
                </pic:pic>
              </a:graphicData>
            </a:graphic>
          </wp:inline>
        </w:drawing>
      </w:r>
    </w:p>
    <w:p w:rsidRPr="007E54DC" w:rsidR="0044635F" w:rsidP="00C92CBA" w:rsidRDefault="002B200D" w14:paraId="205F581D" w14:textId="58536731">
      <w:pPr>
        <w:pStyle w:val="Caption"/>
        <w:spacing w:after="240" w:line="276" w:lineRule="auto"/>
      </w:pPr>
      <w:bookmarkStart w:name="_Toc111126308" w:id="71"/>
      <w:bookmarkStart w:name="_Toc121907670" w:id="72"/>
      <w:r w:rsidRPr="007E54DC">
        <w:t xml:space="preserve">Figure </w:t>
      </w:r>
      <w:r w:rsidRPr="007E54DC">
        <w:fldChar w:fldCharType="begin"/>
      </w:r>
      <w:r w:rsidRPr="007E54DC">
        <w:instrText>SEQ Figure \* ARABIC</w:instrText>
      </w:r>
      <w:r w:rsidRPr="007E54DC">
        <w:fldChar w:fldCharType="separate"/>
      </w:r>
      <w:r w:rsidR="00B9356F">
        <w:rPr>
          <w:noProof/>
        </w:rPr>
        <w:t>2</w:t>
      </w:r>
      <w:r w:rsidRPr="007E54DC">
        <w:fldChar w:fldCharType="end"/>
      </w:r>
      <w:r w:rsidRPr="007E54DC">
        <w:t xml:space="preserve"> </w:t>
      </w:r>
      <w:r w:rsidRPr="007E54DC" w:rsidR="001505C3">
        <w:t>–</w:t>
      </w:r>
      <w:r w:rsidRPr="007E54DC">
        <w:t xml:space="preserve"> Fund</w:t>
      </w:r>
      <w:r w:rsidRPr="007E54DC" w:rsidR="001505C3">
        <w:t xml:space="preserve"> model</w:t>
      </w:r>
      <w:r w:rsidRPr="007E54DC">
        <w:t xml:space="preserve"> interactions</w:t>
      </w:r>
      <w:bookmarkStart w:name="_Toc111401989" w:id="73"/>
      <w:bookmarkEnd w:id="71"/>
      <w:bookmarkEnd w:id="72"/>
    </w:p>
    <w:p w:rsidRPr="007E54DC" w:rsidR="004B68F9" w:rsidP="00EA7923" w:rsidRDefault="004B68F9" w14:paraId="209262D8" w14:textId="4C70DCA4">
      <w:pPr>
        <w:pStyle w:val="Heading3"/>
        <w:spacing w:before="240"/>
      </w:pPr>
    </w:p>
    <w:p w:rsidRPr="007E54DC" w:rsidR="0044635F" w:rsidP="00EA7923" w:rsidRDefault="00EA7923" w14:paraId="71503C70" w14:textId="00ED0982" w14:noSpellErr="1">
      <w:pPr>
        <w:pStyle w:val="Heading3"/>
        <w:spacing w:before="240"/>
        <w:rPr/>
      </w:pPr>
      <w:bookmarkStart w:name="_Toc1465516396" w:id="1289883415"/>
      <w:r w:rsidR="00EA7923">
        <w:rPr/>
        <w:t>Critical Pathway</w:t>
      </w:r>
      <w:bookmarkEnd w:id="1289883415"/>
    </w:p>
    <w:p w:rsidRPr="007E54DC" w:rsidR="004B68F9" w:rsidP="0FD5D71F" w:rsidRDefault="004B68F9" w14:paraId="5644740C" w14:textId="4EB081D0">
      <w:r w:rsidRPr="007E54DC">
        <w:t>The table below provides an indicative timeline of activities</w:t>
      </w:r>
      <w:r w:rsidRPr="007E54DC" w:rsidR="00AA058F">
        <w:t xml:space="preserve"> relating to the </w:t>
      </w:r>
      <w:r w:rsidRPr="007E54DC">
        <w:t>uplift in</w:t>
      </w:r>
      <w:r w:rsidRPr="007E54DC" w:rsidR="00AA058F">
        <w:t xml:space="preserve"> Defra</w:t>
      </w:r>
      <w:r w:rsidRPr="007E54DC">
        <w:t xml:space="preserve"> funding for the GFCR</w:t>
      </w:r>
      <w:r w:rsidRPr="007E54DC" w:rsidR="00AA058F">
        <w:t>. The critical path below displays activities for the next ten months, with some d</w:t>
      </w:r>
      <w:r w:rsidRPr="007E54DC">
        <w:t>ates</w:t>
      </w:r>
      <w:r w:rsidRPr="007E54DC" w:rsidR="00AA058F">
        <w:t xml:space="preserve"> to be confirmed </w:t>
      </w:r>
      <w:r w:rsidRPr="007E54DC">
        <w:t xml:space="preserve">as the programme develops. </w:t>
      </w:r>
      <w:r w:rsidRPr="007E54DC" w:rsidR="00AA058F">
        <w:t xml:space="preserve">Annual reviews will be scheduled every autumn, Executive Board meetings every quarter and further evaluation </w:t>
      </w:r>
      <w:proofErr w:type="gramStart"/>
      <w:r w:rsidRPr="007E54DC" w:rsidR="001302EF">
        <w:t>meetings</w:t>
      </w:r>
      <w:proofErr w:type="gramEnd"/>
      <w:r w:rsidRPr="007E54DC" w:rsidR="00AA058F">
        <w:t xml:space="preserve"> will be scheduled when needed. </w:t>
      </w:r>
    </w:p>
    <w:p w:rsidRPr="007E54DC" w:rsidR="004B68F9" w:rsidP="0FD5D71F" w:rsidRDefault="00AA058F" w14:paraId="303747EF" w14:textId="1BC84DC6">
      <w:r w:rsidRPr="007E54DC">
        <w:t>Defra have a good working relationship with the GFCR team, therefore regular meetings to discuss updates or developments will likely occur on an Ad Hoc basis.</w:t>
      </w:r>
    </w:p>
    <w:tbl>
      <w:tblPr>
        <w:tblW w:w="9676"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654"/>
        <w:gridCol w:w="1638"/>
        <w:gridCol w:w="1498"/>
        <w:gridCol w:w="3886"/>
      </w:tblGrid>
      <w:tr w:rsidRPr="007E54DC" w:rsidR="00EA7923" w:rsidTr="00D9156A" w14:paraId="1A8BB2E0" w14:textId="77777777">
        <w:trPr>
          <w:trHeight w:val="91"/>
          <w:jc w:val="center"/>
        </w:trPr>
        <w:tc>
          <w:tcPr>
            <w:tcW w:w="2654" w:type="dxa"/>
            <w:tcBorders>
              <w:top w:val="single" w:color="auto" w:sz="6" w:space="0"/>
              <w:left w:val="single" w:color="auto" w:sz="6" w:space="0"/>
              <w:bottom w:val="single" w:color="auto" w:sz="6" w:space="0"/>
              <w:right w:val="single" w:color="auto" w:sz="6" w:space="0"/>
            </w:tcBorders>
            <w:shd w:val="clear" w:color="auto" w:fill="auto"/>
            <w:hideMark/>
          </w:tcPr>
          <w:p w:rsidRPr="007E54DC" w:rsidR="00EA7923" w:rsidP="003174AA" w:rsidRDefault="00EA7923" w14:paraId="43020234"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b/>
                <w:sz w:val="20"/>
                <w:szCs w:val="20"/>
                <w:lang w:eastAsia="en-GB"/>
              </w:rPr>
              <w:t>Milestones / Reason</w:t>
            </w:r>
          </w:p>
        </w:tc>
        <w:tc>
          <w:tcPr>
            <w:tcW w:w="1638" w:type="dxa"/>
            <w:tcBorders>
              <w:top w:val="single" w:color="auto" w:sz="6" w:space="0"/>
              <w:left w:val="nil"/>
              <w:bottom w:val="single" w:color="auto" w:sz="6" w:space="0"/>
              <w:right w:val="single" w:color="auto" w:sz="6" w:space="0"/>
            </w:tcBorders>
            <w:shd w:val="clear" w:color="auto" w:fill="auto"/>
            <w:hideMark/>
          </w:tcPr>
          <w:p w:rsidRPr="007E54DC" w:rsidR="00EA7923" w:rsidP="003174AA" w:rsidRDefault="00EA7923" w14:paraId="3F1B4F12"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b/>
                <w:sz w:val="20"/>
                <w:szCs w:val="20"/>
                <w:lang w:eastAsia="en-GB"/>
              </w:rPr>
              <w:t>Type of Activity</w:t>
            </w:r>
          </w:p>
        </w:tc>
        <w:tc>
          <w:tcPr>
            <w:tcW w:w="1498" w:type="dxa"/>
            <w:tcBorders>
              <w:top w:val="single" w:color="auto" w:sz="6" w:space="0"/>
              <w:left w:val="nil"/>
              <w:bottom w:val="single" w:color="auto" w:sz="6" w:space="0"/>
              <w:right w:val="single" w:color="auto" w:sz="6" w:space="0"/>
            </w:tcBorders>
            <w:shd w:val="clear" w:color="auto" w:fill="auto"/>
            <w:hideMark/>
          </w:tcPr>
          <w:p w:rsidRPr="007E54DC" w:rsidR="00EA7923" w:rsidP="003174AA" w:rsidRDefault="00EA7923" w14:paraId="15B538A3"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b/>
                <w:sz w:val="20"/>
                <w:szCs w:val="20"/>
                <w:lang w:eastAsia="en-GB"/>
              </w:rPr>
              <w:t>Date Planned</w:t>
            </w:r>
          </w:p>
        </w:tc>
        <w:tc>
          <w:tcPr>
            <w:tcW w:w="3886" w:type="dxa"/>
            <w:tcBorders>
              <w:top w:val="single" w:color="auto" w:sz="6" w:space="0"/>
              <w:left w:val="nil"/>
              <w:bottom w:val="single" w:color="auto" w:sz="6" w:space="0"/>
              <w:right w:val="single" w:color="auto" w:sz="6" w:space="0"/>
            </w:tcBorders>
            <w:shd w:val="clear" w:color="auto" w:fill="auto"/>
            <w:hideMark/>
          </w:tcPr>
          <w:p w:rsidRPr="007E54DC" w:rsidR="00EA7923" w:rsidP="003174AA" w:rsidRDefault="00EA7923" w14:paraId="644A898C" w14:textId="77777777">
            <w:pPr>
              <w:spacing w:after="0" w:line="240" w:lineRule="auto"/>
              <w:jc w:val="center"/>
              <w:textAlignment w:val="baseline"/>
              <w:rPr>
                <w:rFonts w:eastAsia="Times New Roman" w:cstheme="minorHAnsi"/>
                <w:b/>
                <w:sz w:val="20"/>
                <w:szCs w:val="20"/>
                <w:lang w:eastAsia="en-GB"/>
              </w:rPr>
            </w:pPr>
            <w:r w:rsidRPr="007E54DC">
              <w:rPr>
                <w:rFonts w:eastAsia="Times New Roman" w:cstheme="minorHAnsi"/>
                <w:b/>
                <w:sz w:val="20"/>
                <w:szCs w:val="20"/>
                <w:lang w:eastAsia="en-GB"/>
              </w:rPr>
              <w:t>Comments/Next Steps</w:t>
            </w:r>
          </w:p>
        </w:tc>
      </w:tr>
      <w:tr w:rsidRPr="007E54DC" w:rsidR="00EA7923" w:rsidTr="00D9156A" w14:paraId="54A0EE2C" w14:textId="77777777">
        <w:trPr>
          <w:trHeight w:val="515"/>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003174AA" w:rsidRDefault="00EA7923" w14:paraId="7C5A0E3E" w14:textId="43AA437F">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BC Addendum Clearance </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EA7923" w14:paraId="25E15CAE"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Red Team </w:t>
            </w:r>
          </w:p>
        </w:tc>
        <w:tc>
          <w:tcPr>
            <w:tcW w:w="1498" w:type="dxa"/>
            <w:tcBorders>
              <w:top w:val="nil"/>
              <w:left w:val="nil"/>
              <w:bottom w:val="single" w:color="auto" w:sz="6" w:space="0"/>
              <w:right w:val="single" w:color="auto" w:sz="6" w:space="0"/>
            </w:tcBorders>
            <w:shd w:val="clear" w:color="auto" w:fill="auto"/>
            <w:hideMark/>
          </w:tcPr>
          <w:p w:rsidRPr="007E54DC" w:rsidR="00EA7923" w:rsidP="003174AA" w:rsidRDefault="00EA7923" w14:paraId="51AD584D"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i/>
                <w:sz w:val="20"/>
                <w:szCs w:val="20"/>
                <w:lang w:eastAsia="en-GB"/>
              </w:rPr>
              <w:t>05.09.22</w:t>
            </w:r>
          </w:p>
        </w:tc>
        <w:tc>
          <w:tcPr>
            <w:tcW w:w="3886" w:type="dxa"/>
            <w:tcBorders>
              <w:top w:val="nil"/>
              <w:left w:val="nil"/>
              <w:bottom w:val="single" w:color="auto" w:sz="6" w:space="0"/>
              <w:right w:val="single" w:color="auto" w:sz="6" w:space="0"/>
            </w:tcBorders>
            <w:shd w:val="clear" w:color="auto" w:fill="auto"/>
            <w:hideMark/>
          </w:tcPr>
          <w:p w:rsidRPr="007E54DC" w:rsidR="00EA7923" w:rsidP="006119A8" w:rsidRDefault="006119A8" w14:paraId="02215AB1" w14:textId="1AE886F7">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R</w:t>
            </w:r>
            <w:r w:rsidRPr="007E54DC">
              <w:rPr>
                <w:rFonts w:cstheme="minorHAnsi"/>
                <w:color w:val="000000"/>
                <w:sz w:val="20"/>
                <w:szCs w:val="20"/>
                <w:shd w:val="clear" w:color="auto" w:fill="FFFFFF"/>
              </w:rPr>
              <w:t xml:space="preserve">ed Team reviewer's main concerns were around the large increase in funding </w:t>
            </w:r>
            <w:r w:rsidRPr="007E54DC" w:rsidR="001302EF">
              <w:rPr>
                <w:rFonts w:cstheme="minorHAnsi"/>
                <w:color w:val="000000"/>
                <w:sz w:val="20"/>
                <w:szCs w:val="20"/>
                <w:shd w:val="clear" w:color="auto" w:fill="FFFFFF"/>
              </w:rPr>
              <w:t>and lack</w:t>
            </w:r>
            <w:r w:rsidRPr="007E54DC">
              <w:rPr>
                <w:rFonts w:cstheme="minorHAnsi"/>
                <w:color w:val="000000"/>
                <w:sz w:val="20"/>
                <w:szCs w:val="20"/>
                <w:shd w:val="clear" w:color="auto" w:fill="FFFFFF"/>
              </w:rPr>
              <w:t xml:space="preserve"> of Annual Review/SMART objectives. There were also concerns that the economic case should pull out more detail regarding the options appraisal. </w:t>
            </w:r>
          </w:p>
        </w:tc>
      </w:tr>
      <w:tr w:rsidRPr="007E54DC" w:rsidR="00EA7923" w:rsidTr="00D9156A" w14:paraId="2D0AEB7E" w14:textId="77777777">
        <w:trPr>
          <w:trHeight w:val="537"/>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24F5A62B" w:rsidRDefault="2876F3C4" w14:paraId="3CDDFED4" w14:textId="75EC43C3">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BC Addendum Clearance </w:t>
            </w:r>
          </w:p>
        </w:tc>
        <w:tc>
          <w:tcPr>
            <w:tcW w:w="1638" w:type="dxa"/>
            <w:tcBorders>
              <w:top w:val="nil"/>
              <w:left w:val="nil"/>
              <w:bottom w:val="single" w:color="auto" w:sz="6" w:space="0"/>
              <w:right w:val="single" w:color="auto" w:sz="6" w:space="0"/>
            </w:tcBorders>
            <w:shd w:val="clear" w:color="auto" w:fill="auto"/>
            <w:hideMark/>
          </w:tcPr>
          <w:p w:rsidRPr="007E54DC" w:rsidR="00EA7923" w:rsidP="24F5A62B" w:rsidRDefault="2876F3C4" w14:paraId="2B85EAA0"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ODA Board </w:t>
            </w:r>
          </w:p>
        </w:tc>
        <w:tc>
          <w:tcPr>
            <w:tcW w:w="1498" w:type="dxa"/>
            <w:tcBorders>
              <w:top w:val="nil"/>
              <w:left w:val="nil"/>
              <w:bottom w:val="single" w:color="auto" w:sz="6" w:space="0"/>
              <w:right w:val="single" w:color="auto" w:sz="6" w:space="0"/>
            </w:tcBorders>
            <w:shd w:val="clear" w:color="auto" w:fill="auto"/>
            <w:hideMark/>
          </w:tcPr>
          <w:p w:rsidRPr="007E54DC" w:rsidR="00EA7923" w:rsidP="24F5A62B" w:rsidRDefault="2876F3C4" w14:paraId="4B86CD46"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i/>
                <w:iCs/>
                <w:sz w:val="20"/>
                <w:szCs w:val="20"/>
                <w:lang w:eastAsia="en-GB"/>
              </w:rPr>
              <w:t>26.09.22</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7E831275" w14:paraId="0D7DC568" w14:textId="14FAC57E">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Request for the completion of AR prior to moving forward with approvals</w:t>
            </w:r>
          </w:p>
        </w:tc>
      </w:tr>
      <w:tr w:rsidRPr="007E54DC" w:rsidR="00EA7923" w:rsidTr="00D9156A" w14:paraId="2F725855" w14:textId="77777777">
        <w:trPr>
          <w:trHeight w:val="96"/>
          <w:jc w:val="center"/>
        </w:trPr>
        <w:tc>
          <w:tcPr>
            <w:tcW w:w="2654" w:type="dxa"/>
            <w:tcBorders>
              <w:top w:val="nil"/>
              <w:left w:val="single" w:color="auto" w:sz="6" w:space="0"/>
              <w:bottom w:val="single" w:color="auto" w:sz="6" w:space="0"/>
              <w:right w:val="single" w:color="auto" w:sz="6" w:space="0"/>
            </w:tcBorders>
            <w:shd w:val="clear" w:color="auto" w:fill="auto"/>
          </w:tcPr>
          <w:p w:rsidRPr="007E54DC" w:rsidR="00EA7923" w:rsidP="003174AA" w:rsidRDefault="00EA7923" w14:paraId="16F909E8"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Year 1 Annual Review</w:t>
            </w:r>
          </w:p>
        </w:tc>
        <w:tc>
          <w:tcPr>
            <w:tcW w:w="1638" w:type="dxa"/>
            <w:tcBorders>
              <w:top w:val="nil"/>
              <w:left w:val="nil"/>
              <w:bottom w:val="single" w:color="auto" w:sz="6" w:space="0"/>
              <w:right w:val="single" w:color="auto" w:sz="6" w:space="0"/>
            </w:tcBorders>
            <w:shd w:val="clear" w:color="auto" w:fill="auto"/>
          </w:tcPr>
          <w:p w:rsidRPr="007E54DC" w:rsidR="00EA7923" w:rsidP="003174AA" w:rsidRDefault="00F258C1" w14:paraId="6AFDC78B" w14:textId="0F08E9AA">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Performance assessment</w:t>
            </w:r>
          </w:p>
        </w:tc>
        <w:tc>
          <w:tcPr>
            <w:tcW w:w="1498" w:type="dxa"/>
            <w:tcBorders>
              <w:top w:val="nil"/>
              <w:left w:val="nil"/>
              <w:bottom w:val="single" w:color="auto" w:sz="6" w:space="0"/>
              <w:right w:val="single" w:color="auto" w:sz="6" w:space="0"/>
            </w:tcBorders>
            <w:shd w:val="clear" w:color="auto" w:fill="auto"/>
          </w:tcPr>
          <w:p w:rsidRPr="007E54DC" w:rsidR="00EA7923" w:rsidP="24F5A62B" w:rsidRDefault="0A1A760E" w14:paraId="24DD1D87" w14:textId="5C22546E">
            <w:pPr>
              <w:spacing w:after="0" w:line="240" w:lineRule="auto"/>
              <w:jc w:val="center"/>
              <w:textAlignment w:val="baseline"/>
              <w:rPr>
                <w:rFonts w:eastAsia="Times New Roman" w:cstheme="minorHAnsi"/>
                <w:i/>
                <w:iCs/>
                <w:sz w:val="20"/>
                <w:szCs w:val="20"/>
                <w:lang w:eastAsia="en-GB"/>
              </w:rPr>
            </w:pPr>
            <w:r w:rsidRPr="007E54DC">
              <w:rPr>
                <w:rFonts w:eastAsia="Times New Roman" w:cstheme="minorHAnsi"/>
                <w:i/>
                <w:iCs/>
                <w:sz w:val="20"/>
                <w:szCs w:val="20"/>
                <w:lang w:eastAsia="en-GB"/>
              </w:rPr>
              <w:t>30.11.22</w:t>
            </w:r>
          </w:p>
        </w:tc>
        <w:tc>
          <w:tcPr>
            <w:tcW w:w="3886" w:type="dxa"/>
            <w:tcBorders>
              <w:top w:val="nil"/>
              <w:left w:val="nil"/>
              <w:bottom w:val="single" w:color="auto" w:sz="6" w:space="0"/>
              <w:right w:val="single" w:color="auto" w:sz="6" w:space="0"/>
            </w:tcBorders>
            <w:shd w:val="clear" w:color="auto" w:fill="auto"/>
          </w:tcPr>
          <w:p w:rsidRPr="007E54DC" w:rsidR="00EA7923" w:rsidP="00D9156A" w:rsidRDefault="00B82220" w14:paraId="51C28B99" w14:textId="5ECFEC6D">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Positive a</w:t>
            </w:r>
            <w:r w:rsidRPr="007E54DC" w:rsidR="00EA7923">
              <w:rPr>
                <w:rFonts w:eastAsia="Times New Roman" w:cstheme="minorHAnsi"/>
                <w:sz w:val="20"/>
                <w:szCs w:val="20"/>
                <w:lang w:eastAsia="en-GB"/>
              </w:rPr>
              <w:t xml:space="preserve">ssessment of year one </w:t>
            </w:r>
            <w:r w:rsidRPr="007E54DC">
              <w:rPr>
                <w:rFonts w:eastAsia="Times New Roman" w:cstheme="minorHAnsi"/>
                <w:sz w:val="20"/>
                <w:szCs w:val="20"/>
                <w:lang w:eastAsia="en-GB"/>
              </w:rPr>
              <w:t>progress with outputs scoring A overall.</w:t>
            </w:r>
          </w:p>
        </w:tc>
      </w:tr>
      <w:tr w:rsidRPr="007E54DC" w:rsidR="00EA7923" w:rsidTr="00D9156A" w14:paraId="16BEEDA2" w14:textId="77777777">
        <w:trPr>
          <w:trHeight w:val="96"/>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003174AA" w:rsidRDefault="00EA7923" w14:paraId="50B36FFF"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GFCR Executive Board meeting</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F258C1" w14:paraId="0EDC6F8B" w14:textId="2C35DCFB">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 xml:space="preserve">Quarterly Fund governance </w:t>
            </w:r>
          </w:p>
        </w:tc>
        <w:tc>
          <w:tcPr>
            <w:tcW w:w="1498" w:type="dxa"/>
            <w:tcBorders>
              <w:top w:val="nil"/>
              <w:left w:val="nil"/>
              <w:bottom w:val="single" w:color="auto" w:sz="6" w:space="0"/>
              <w:right w:val="single" w:color="auto" w:sz="6" w:space="0"/>
            </w:tcBorders>
            <w:shd w:val="clear" w:color="auto" w:fill="auto"/>
            <w:hideMark/>
          </w:tcPr>
          <w:p w:rsidRPr="007E54DC" w:rsidR="00EA7923" w:rsidP="003174AA" w:rsidRDefault="00EA7923" w14:paraId="39AFDC2C"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i/>
                <w:iCs/>
                <w:sz w:val="20"/>
                <w:szCs w:val="20"/>
                <w:lang w:eastAsia="en-GB"/>
              </w:rPr>
              <w:t>05.10.22</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00EA7923" w14:paraId="2A9E5210" w14:textId="77777777">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Concept notes assessed, decision on new approved projects, updates on Secretariat, M&amp;E framework and indicator updates, knowledge sharing</w:t>
            </w:r>
          </w:p>
        </w:tc>
      </w:tr>
      <w:tr w:rsidRPr="007E54DC" w:rsidR="24F5A62B" w:rsidTr="00D9156A" w14:paraId="2055D8D9" w14:textId="77777777">
        <w:trPr>
          <w:trHeight w:val="96"/>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24F5A62B" w:rsidP="24F5A62B" w:rsidRDefault="24F5A62B" w14:paraId="55413DC3" w14:textId="348F2AAC">
            <w:pPr>
              <w:spacing w:after="0" w:line="240" w:lineRule="auto"/>
              <w:jc w:val="center"/>
              <w:rPr>
                <w:rFonts w:eastAsia="Times New Roman" w:cstheme="minorHAnsi"/>
                <w:sz w:val="20"/>
                <w:szCs w:val="20"/>
                <w:lang w:eastAsia="en-GB"/>
              </w:rPr>
            </w:pPr>
            <w:r w:rsidRPr="007E54DC">
              <w:rPr>
                <w:rFonts w:eastAsia="Times New Roman" w:cstheme="minorHAnsi"/>
                <w:sz w:val="20"/>
                <w:szCs w:val="20"/>
                <w:lang w:eastAsia="en-GB"/>
              </w:rPr>
              <w:t>BC Addendum Clearance</w:t>
            </w:r>
            <w:r w:rsidRPr="007E54DC" w:rsidR="00DB518B">
              <w:rPr>
                <w:rFonts w:eastAsia="Times New Roman" w:cstheme="minorHAnsi"/>
                <w:sz w:val="20"/>
                <w:szCs w:val="20"/>
                <w:lang w:eastAsia="en-GB"/>
              </w:rPr>
              <w:t xml:space="preserve"> - Resubmission</w:t>
            </w:r>
            <w:r w:rsidRPr="007E54DC">
              <w:rPr>
                <w:rFonts w:eastAsia="Times New Roman" w:cstheme="minorHAnsi"/>
                <w:sz w:val="20"/>
                <w:szCs w:val="20"/>
                <w:lang w:eastAsia="en-GB"/>
              </w:rPr>
              <w:t> </w:t>
            </w:r>
          </w:p>
        </w:tc>
        <w:tc>
          <w:tcPr>
            <w:tcW w:w="1638" w:type="dxa"/>
            <w:tcBorders>
              <w:top w:val="nil"/>
              <w:left w:val="nil"/>
              <w:bottom w:val="single" w:color="auto" w:sz="6" w:space="0"/>
              <w:right w:val="single" w:color="auto" w:sz="6" w:space="0"/>
            </w:tcBorders>
            <w:shd w:val="clear" w:color="auto" w:fill="auto"/>
            <w:hideMark/>
          </w:tcPr>
          <w:p w:rsidRPr="007E54DC" w:rsidR="24F5A62B" w:rsidP="24F5A62B" w:rsidRDefault="24F5A62B" w14:paraId="44D9581C" w14:textId="77777777">
            <w:pPr>
              <w:spacing w:after="0" w:line="240" w:lineRule="auto"/>
              <w:jc w:val="center"/>
              <w:rPr>
                <w:rFonts w:eastAsia="Times New Roman" w:cstheme="minorHAnsi"/>
                <w:sz w:val="20"/>
                <w:szCs w:val="20"/>
                <w:lang w:eastAsia="en-GB"/>
              </w:rPr>
            </w:pPr>
            <w:r w:rsidRPr="007E54DC">
              <w:rPr>
                <w:rFonts w:eastAsia="Times New Roman" w:cstheme="minorHAnsi"/>
                <w:sz w:val="20"/>
                <w:szCs w:val="20"/>
                <w:lang w:eastAsia="en-GB"/>
              </w:rPr>
              <w:t>ODA Board </w:t>
            </w:r>
          </w:p>
        </w:tc>
        <w:tc>
          <w:tcPr>
            <w:tcW w:w="1498" w:type="dxa"/>
            <w:tcBorders>
              <w:top w:val="nil"/>
              <w:left w:val="nil"/>
              <w:bottom w:val="single" w:color="auto" w:sz="6" w:space="0"/>
              <w:right w:val="single" w:color="auto" w:sz="6" w:space="0"/>
            </w:tcBorders>
            <w:shd w:val="clear" w:color="auto" w:fill="auto"/>
            <w:hideMark/>
          </w:tcPr>
          <w:p w:rsidRPr="007E54DC" w:rsidR="24F5A62B" w:rsidP="24F5A62B" w:rsidRDefault="24F5A62B" w14:paraId="12DAD521" w14:textId="4AB98359">
            <w:pPr>
              <w:spacing w:after="0" w:line="240" w:lineRule="auto"/>
              <w:jc w:val="center"/>
              <w:rPr>
                <w:rFonts w:eastAsia="Times New Roman" w:cstheme="minorHAnsi"/>
                <w:i/>
                <w:iCs/>
                <w:sz w:val="20"/>
                <w:szCs w:val="20"/>
                <w:lang w:eastAsia="en-GB"/>
              </w:rPr>
            </w:pPr>
            <w:r w:rsidRPr="007E54DC">
              <w:rPr>
                <w:rFonts w:eastAsia="Times New Roman" w:cstheme="minorHAnsi"/>
                <w:i/>
                <w:iCs/>
                <w:sz w:val="20"/>
                <w:szCs w:val="20"/>
                <w:lang w:eastAsia="en-GB"/>
              </w:rPr>
              <w:t>18.01.23</w:t>
            </w:r>
          </w:p>
        </w:tc>
        <w:tc>
          <w:tcPr>
            <w:tcW w:w="3886" w:type="dxa"/>
            <w:tcBorders>
              <w:top w:val="nil"/>
              <w:left w:val="nil"/>
              <w:bottom w:val="single" w:color="auto" w:sz="6" w:space="0"/>
              <w:right w:val="single" w:color="auto" w:sz="6" w:space="0"/>
            </w:tcBorders>
            <w:shd w:val="clear" w:color="auto" w:fill="auto"/>
            <w:hideMark/>
          </w:tcPr>
          <w:p w:rsidRPr="007E54DC" w:rsidR="24F5A62B" w:rsidP="00D9156A" w:rsidRDefault="24F5A62B" w14:paraId="456428F2" w14:textId="7132CE79">
            <w:pPr>
              <w:spacing w:line="240" w:lineRule="auto"/>
              <w:rPr>
                <w:rFonts w:eastAsia="Times New Roman" w:cstheme="minorHAnsi"/>
                <w:sz w:val="20"/>
                <w:szCs w:val="20"/>
                <w:lang w:eastAsia="en-GB"/>
              </w:rPr>
            </w:pPr>
          </w:p>
        </w:tc>
      </w:tr>
      <w:tr w:rsidRPr="007E54DC" w:rsidR="00EA7923" w:rsidTr="00D9156A" w14:paraId="686AC9AD" w14:textId="77777777">
        <w:trPr>
          <w:trHeight w:val="462"/>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003174AA" w:rsidRDefault="00EA7923" w14:paraId="35AF0DB5" w14:textId="394E856C">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BC Addendum Clearance </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EA7923" w14:paraId="17ADB8E4"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IC  </w:t>
            </w:r>
          </w:p>
        </w:tc>
        <w:tc>
          <w:tcPr>
            <w:tcW w:w="1498" w:type="dxa"/>
            <w:tcBorders>
              <w:top w:val="nil"/>
              <w:left w:val="nil"/>
              <w:bottom w:val="single" w:color="auto" w:sz="6" w:space="0"/>
              <w:right w:val="single" w:color="auto" w:sz="6" w:space="0"/>
            </w:tcBorders>
            <w:shd w:val="clear" w:color="auto" w:fill="auto"/>
            <w:hideMark/>
          </w:tcPr>
          <w:p w:rsidRPr="007E54DC" w:rsidR="00EA7923" w:rsidP="24F5A62B" w:rsidRDefault="069EAA91" w14:paraId="7E9AB806" w14:textId="4AEA0306">
            <w:pPr>
              <w:spacing w:after="0" w:line="240" w:lineRule="auto"/>
              <w:jc w:val="center"/>
              <w:rPr>
                <w:rFonts w:eastAsia="Times New Roman" w:cstheme="minorHAnsi"/>
                <w:i/>
                <w:iCs/>
                <w:sz w:val="20"/>
                <w:szCs w:val="20"/>
                <w:lang w:eastAsia="en-GB"/>
              </w:rPr>
            </w:pPr>
            <w:r w:rsidRPr="007E54DC">
              <w:rPr>
                <w:rFonts w:eastAsia="Times New Roman" w:cstheme="minorHAnsi"/>
                <w:i/>
                <w:iCs/>
                <w:sz w:val="20"/>
                <w:szCs w:val="20"/>
                <w:lang w:eastAsia="en-GB"/>
              </w:rPr>
              <w:t>15.02.23</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00EA7923" w14:paraId="1092BD09" w14:textId="77777777">
            <w:pPr>
              <w:spacing w:after="0" w:line="240" w:lineRule="auto"/>
              <w:textAlignment w:val="baseline"/>
              <w:rPr>
                <w:rFonts w:eastAsia="Times New Roman" w:cstheme="minorHAnsi"/>
                <w:sz w:val="20"/>
                <w:szCs w:val="20"/>
                <w:lang w:eastAsia="en-GB"/>
              </w:rPr>
            </w:pPr>
          </w:p>
        </w:tc>
      </w:tr>
      <w:tr w:rsidRPr="007E54DC" w:rsidR="00EA7923" w:rsidTr="00D9156A" w14:paraId="26B20005" w14:textId="77777777">
        <w:trPr>
          <w:trHeight w:val="554"/>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003174AA" w:rsidRDefault="00EA7923" w14:paraId="63C7CFA8" w14:textId="146161B8">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BC Addendum Clearance </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EA7923" w14:paraId="037649C2"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Minister </w:t>
            </w:r>
          </w:p>
        </w:tc>
        <w:tc>
          <w:tcPr>
            <w:tcW w:w="1498" w:type="dxa"/>
            <w:tcBorders>
              <w:top w:val="nil"/>
              <w:left w:val="nil"/>
              <w:bottom w:val="single" w:color="auto" w:sz="6" w:space="0"/>
              <w:right w:val="single" w:color="auto" w:sz="6" w:space="0"/>
            </w:tcBorders>
            <w:shd w:val="clear" w:color="auto" w:fill="auto"/>
            <w:hideMark/>
          </w:tcPr>
          <w:p w:rsidRPr="007E54DC" w:rsidR="00EA7923" w:rsidP="24F5A62B" w:rsidRDefault="1EAD1B33" w14:paraId="6BF85644" w14:textId="6232320B">
            <w:pPr>
              <w:spacing w:after="0" w:line="240" w:lineRule="auto"/>
              <w:jc w:val="center"/>
              <w:rPr>
                <w:rFonts w:eastAsia="Times New Roman" w:cstheme="minorHAnsi"/>
                <w:i/>
                <w:iCs/>
                <w:sz w:val="20"/>
                <w:szCs w:val="20"/>
                <w:lang w:eastAsia="en-GB"/>
              </w:rPr>
            </w:pPr>
            <w:r w:rsidRPr="007E54DC">
              <w:rPr>
                <w:rFonts w:eastAsia="Times New Roman" w:cstheme="minorHAnsi"/>
                <w:i/>
                <w:iCs/>
                <w:sz w:val="20"/>
                <w:szCs w:val="20"/>
                <w:lang w:eastAsia="en-GB"/>
              </w:rPr>
              <w:t>20.02.23</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00EA7923" w14:paraId="311250C9" w14:textId="77777777">
            <w:pPr>
              <w:spacing w:after="0" w:line="240" w:lineRule="auto"/>
              <w:textAlignment w:val="baseline"/>
              <w:rPr>
                <w:rFonts w:eastAsia="Times New Roman" w:cstheme="minorHAnsi"/>
                <w:sz w:val="20"/>
                <w:szCs w:val="20"/>
                <w:lang w:eastAsia="en-GB"/>
              </w:rPr>
            </w:pPr>
          </w:p>
        </w:tc>
      </w:tr>
      <w:tr w:rsidRPr="007E54DC" w:rsidR="24F5A62B" w:rsidTr="00D9156A" w14:paraId="05FF64C9" w14:textId="77777777">
        <w:trPr>
          <w:trHeight w:val="554"/>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24F5A62B" w:rsidP="24F5A62B" w:rsidRDefault="24F5A62B" w14:paraId="2BDB4CAD" w14:textId="77777777">
            <w:pPr>
              <w:spacing w:after="0" w:line="240" w:lineRule="auto"/>
              <w:jc w:val="center"/>
              <w:rPr>
                <w:rFonts w:eastAsia="Times New Roman" w:cstheme="minorHAnsi"/>
                <w:sz w:val="20"/>
                <w:szCs w:val="20"/>
                <w:lang w:eastAsia="en-GB"/>
              </w:rPr>
            </w:pPr>
            <w:r w:rsidRPr="007E54DC">
              <w:rPr>
                <w:rFonts w:eastAsia="Times New Roman" w:cstheme="minorHAnsi"/>
                <w:sz w:val="20"/>
                <w:szCs w:val="20"/>
                <w:lang w:eastAsia="en-GB"/>
              </w:rPr>
              <w:t>GFCR Executive Board meeting</w:t>
            </w:r>
          </w:p>
        </w:tc>
        <w:tc>
          <w:tcPr>
            <w:tcW w:w="1638" w:type="dxa"/>
            <w:tcBorders>
              <w:top w:val="nil"/>
              <w:left w:val="nil"/>
              <w:bottom w:val="single" w:color="auto" w:sz="6" w:space="0"/>
              <w:right w:val="single" w:color="auto" w:sz="6" w:space="0"/>
            </w:tcBorders>
            <w:shd w:val="clear" w:color="auto" w:fill="auto"/>
            <w:hideMark/>
          </w:tcPr>
          <w:p w:rsidRPr="007E54DC" w:rsidR="24F5A62B" w:rsidP="24F5A62B" w:rsidRDefault="24F5A62B" w14:paraId="278ED639" w14:textId="0F798B50">
            <w:pPr>
              <w:spacing w:after="0" w:line="240" w:lineRule="auto"/>
              <w:jc w:val="center"/>
              <w:rPr>
                <w:rFonts w:eastAsia="Times New Roman" w:cstheme="minorHAnsi"/>
                <w:sz w:val="20"/>
                <w:szCs w:val="20"/>
                <w:lang w:eastAsia="en-GB"/>
              </w:rPr>
            </w:pPr>
            <w:r w:rsidRPr="007E54DC">
              <w:rPr>
                <w:rFonts w:eastAsia="Times New Roman" w:cstheme="minorHAnsi"/>
                <w:sz w:val="20"/>
                <w:szCs w:val="20"/>
                <w:lang w:eastAsia="en-GB"/>
              </w:rPr>
              <w:t>Quarterly Fund governance</w:t>
            </w:r>
          </w:p>
        </w:tc>
        <w:tc>
          <w:tcPr>
            <w:tcW w:w="1498" w:type="dxa"/>
            <w:tcBorders>
              <w:top w:val="nil"/>
              <w:left w:val="nil"/>
              <w:bottom w:val="single" w:color="auto" w:sz="6" w:space="0"/>
              <w:right w:val="single" w:color="auto" w:sz="6" w:space="0"/>
            </w:tcBorders>
            <w:shd w:val="clear" w:color="auto" w:fill="auto"/>
            <w:hideMark/>
          </w:tcPr>
          <w:p w:rsidRPr="007E54DC" w:rsidR="24F5A62B" w:rsidP="24F5A62B" w:rsidRDefault="24F5A62B" w14:paraId="69732F5F" w14:textId="77777777">
            <w:pPr>
              <w:spacing w:after="0" w:line="240" w:lineRule="auto"/>
              <w:jc w:val="center"/>
              <w:rPr>
                <w:rFonts w:eastAsia="Times New Roman" w:cstheme="minorHAnsi"/>
                <w:sz w:val="20"/>
                <w:szCs w:val="20"/>
                <w:lang w:eastAsia="en-GB"/>
              </w:rPr>
            </w:pPr>
            <w:r w:rsidRPr="007E54DC">
              <w:rPr>
                <w:rFonts w:eastAsia="Times New Roman" w:cstheme="minorHAnsi"/>
                <w:sz w:val="20"/>
                <w:szCs w:val="20"/>
                <w:lang w:eastAsia="en-GB"/>
              </w:rPr>
              <w:t>February 23</w:t>
            </w:r>
          </w:p>
        </w:tc>
        <w:tc>
          <w:tcPr>
            <w:tcW w:w="3886" w:type="dxa"/>
            <w:tcBorders>
              <w:top w:val="nil"/>
              <w:left w:val="nil"/>
              <w:bottom w:val="single" w:color="auto" w:sz="6" w:space="0"/>
              <w:right w:val="single" w:color="auto" w:sz="6" w:space="0"/>
            </w:tcBorders>
            <w:shd w:val="clear" w:color="auto" w:fill="auto"/>
            <w:hideMark/>
          </w:tcPr>
          <w:p w:rsidRPr="007E54DC" w:rsidR="24F5A62B" w:rsidP="00D9156A" w:rsidRDefault="24F5A62B" w14:paraId="2502E107" w14:textId="77777777">
            <w:pPr>
              <w:spacing w:after="0" w:line="240" w:lineRule="auto"/>
              <w:rPr>
                <w:rFonts w:eastAsia="Times New Roman" w:cstheme="minorHAnsi"/>
                <w:sz w:val="20"/>
                <w:szCs w:val="20"/>
                <w:lang w:eastAsia="en-GB"/>
              </w:rPr>
            </w:pPr>
            <w:r w:rsidRPr="007E54DC">
              <w:rPr>
                <w:rFonts w:eastAsia="Times New Roman" w:cstheme="minorHAnsi"/>
                <w:sz w:val="20"/>
                <w:szCs w:val="20"/>
                <w:lang w:eastAsia="en-GB"/>
              </w:rPr>
              <w:t>Concept notes assessed, decision on new approved projects, updates on Secretariat, M&amp;E framework and indicator updates, knowledge sharing</w:t>
            </w:r>
          </w:p>
        </w:tc>
      </w:tr>
      <w:tr w:rsidRPr="007E54DC" w:rsidR="00B014DB" w:rsidTr="00D9156A" w14:paraId="0A74A49B" w14:textId="77777777">
        <w:trPr>
          <w:trHeight w:val="554"/>
          <w:jc w:val="center"/>
        </w:trPr>
        <w:tc>
          <w:tcPr>
            <w:tcW w:w="2654" w:type="dxa"/>
            <w:tcBorders>
              <w:top w:val="nil"/>
              <w:left w:val="single" w:color="auto" w:sz="6" w:space="0"/>
              <w:bottom w:val="single" w:color="auto" w:sz="6" w:space="0"/>
              <w:right w:val="single" w:color="auto" w:sz="6" w:space="0"/>
            </w:tcBorders>
            <w:shd w:val="clear" w:color="auto" w:fill="auto"/>
          </w:tcPr>
          <w:p w:rsidRPr="007E54DC" w:rsidR="00B014DB" w:rsidP="003174AA" w:rsidRDefault="00B014DB" w14:paraId="77D0F485" w14:textId="30B78998">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Comms with FCDO Posts</w:t>
            </w:r>
          </w:p>
        </w:tc>
        <w:tc>
          <w:tcPr>
            <w:tcW w:w="1638" w:type="dxa"/>
            <w:tcBorders>
              <w:top w:val="nil"/>
              <w:left w:val="nil"/>
              <w:bottom w:val="single" w:color="auto" w:sz="6" w:space="0"/>
              <w:right w:val="single" w:color="auto" w:sz="6" w:space="0"/>
            </w:tcBorders>
            <w:shd w:val="clear" w:color="auto" w:fill="auto"/>
          </w:tcPr>
          <w:p w:rsidRPr="007E54DC" w:rsidR="00B014DB" w:rsidP="003174AA" w:rsidRDefault="00F258C1" w14:paraId="26418269" w14:textId="4DEC8C24">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Stakeholder engagement</w:t>
            </w:r>
          </w:p>
        </w:tc>
        <w:tc>
          <w:tcPr>
            <w:tcW w:w="1498" w:type="dxa"/>
            <w:tcBorders>
              <w:top w:val="nil"/>
              <w:left w:val="nil"/>
              <w:bottom w:val="single" w:color="auto" w:sz="6" w:space="0"/>
              <w:right w:val="single" w:color="auto" w:sz="6" w:space="0"/>
            </w:tcBorders>
            <w:shd w:val="clear" w:color="auto" w:fill="auto"/>
          </w:tcPr>
          <w:p w:rsidRPr="007E54DC" w:rsidR="00B014DB" w:rsidP="24F5A62B" w:rsidRDefault="7472055A" w14:paraId="3A34C5CB" w14:textId="677F8451">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Febr</w:t>
            </w:r>
            <w:r w:rsidRPr="007E54DC" w:rsidR="0D6552CC">
              <w:rPr>
                <w:rFonts w:eastAsia="Times New Roman" w:cstheme="minorHAnsi"/>
                <w:sz w:val="20"/>
                <w:szCs w:val="20"/>
                <w:lang w:eastAsia="en-GB"/>
              </w:rPr>
              <w:t>uary</w:t>
            </w:r>
            <w:r w:rsidRPr="007E54DC">
              <w:rPr>
                <w:rFonts w:eastAsia="Times New Roman" w:cstheme="minorHAnsi"/>
                <w:sz w:val="20"/>
                <w:szCs w:val="20"/>
                <w:lang w:eastAsia="en-GB"/>
              </w:rPr>
              <w:t xml:space="preserve"> 23</w:t>
            </w:r>
          </w:p>
        </w:tc>
        <w:tc>
          <w:tcPr>
            <w:tcW w:w="3886" w:type="dxa"/>
            <w:tcBorders>
              <w:top w:val="nil"/>
              <w:left w:val="nil"/>
              <w:bottom w:val="single" w:color="auto" w:sz="6" w:space="0"/>
              <w:right w:val="single" w:color="auto" w:sz="6" w:space="0"/>
            </w:tcBorders>
            <w:shd w:val="clear" w:color="auto" w:fill="auto"/>
          </w:tcPr>
          <w:p w:rsidRPr="007E54DC" w:rsidR="00B014DB" w:rsidP="00D9156A" w:rsidRDefault="2513041F" w14:paraId="1834B5B0" w14:textId="26B2E70D">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Communication regarding planned COP announcement, AR scoring</w:t>
            </w:r>
            <w:r w:rsidRPr="007E54DC" w:rsidR="0013569A">
              <w:rPr>
                <w:rFonts w:eastAsia="Times New Roman" w:cstheme="minorHAnsi"/>
                <w:sz w:val="20"/>
                <w:szCs w:val="20"/>
                <w:lang w:eastAsia="en-GB"/>
              </w:rPr>
              <w:t>,</w:t>
            </w:r>
            <w:r w:rsidRPr="007E54DC">
              <w:rPr>
                <w:rFonts w:eastAsia="Times New Roman" w:cstheme="minorHAnsi"/>
                <w:sz w:val="20"/>
                <w:szCs w:val="20"/>
                <w:lang w:eastAsia="en-GB"/>
              </w:rPr>
              <w:t xml:space="preserve"> </w:t>
            </w:r>
            <w:r w:rsidRPr="007E54DC" w:rsidR="0013569A">
              <w:rPr>
                <w:rFonts w:eastAsia="Times New Roman" w:cstheme="minorHAnsi"/>
                <w:sz w:val="20"/>
                <w:szCs w:val="20"/>
                <w:lang w:eastAsia="en-GB"/>
              </w:rPr>
              <w:t xml:space="preserve">details of active projects </w:t>
            </w:r>
            <w:r w:rsidRPr="007E54DC">
              <w:rPr>
                <w:rFonts w:eastAsia="Times New Roman" w:cstheme="minorHAnsi"/>
                <w:sz w:val="20"/>
                <w:szCs w:val="20"/>
                <w:lang w:eastAsia="en-GB"/>
              </w:rPr>
              <w:t xml:space="preserve">issued to Posts in </w:t>
            </w:r>
            <w:r w:rsidRPr="007E54DC" w:rsidR="0013569A">
              <w:rPr>
                <w:rFonts w:eastAsia="Times New Roman" w:cstheme="minorHAnsi"/>
                <w:sz w:val="20"/>
                <w:szCs w:val="20"/>
                <w:lang w:eastAsia="en-GB"/>
              </w:rPr>
              <w:t xml:space="preserve">existing </w:t>
            </w:r>
            <w:r w:rsidRPr="007E54DC">
              <w:rPr>
                <w:rFonts w:eastAsia="Times New Roman" w:cstheme="minorHAnsi"/>
                <w:sz w:val="20"/>
                <w:szCs w:val="20"/>
                <w:lang w:eastAsia="en-GB"/>
              </w:rPr>
              <w:t>project countries.</w:t>
            </w:r>
            <w:r w:rsidRPr="007E54DC" w:rsidR="3FBCDED4">
              <w:rPr>
                <w:rFonts w:eastAsia="Times New Roman" w:cstheme="minorHAnsi"/>
                <w:sz w:val="20"/>
                <w:szCs w:val="20"/>
                <w:lang w:eastAsia="en-GB"/>
              </w:rPr>
              <w:t xml:space="preserve"> Additional, </w:t>
            </w:r>
            <w:r w:rsidRPr="007E54DC" w:rsidR="001302EF">
              <w:rPr>
                <w:rFonts w:eastAsia="Times New Roman" w:cstheme="minorHAnsi"/>
                <w:sz w:val="20"/>
                <w:szCs w:val="20"/>
                <w:lang w:eastAsia="en-GB"/>
              </w:rPr>
              <w:t>forward-looking</w:t>
            </w:r>
            <w:r w:rsidRPr="007E54DC" w:rsidR="3FBCDED4">
              <w:rPr>
                <w:rFonts w:eastAsia="Times New Roman" w:cstheme="minorHAnsi"/>
                <w:sz w:val="20"/>
                <w:szCs w:val="20"/>
                <w:lang w:eastAsia="en-GB"/>
              </w:rPr>
              <w:t xml:space="preserve"> comms to be issued providing a summary to Posts in proposed project countries of concepts seeking approval following EB meeting</w:t>
            </w:r>
          </w:p>
          <w:p w:rsidRPr="007E54DC" w:rsidR="00B014DB" w:rsidP="00D9156A" w:rsidRDefault="00B014DB" w14:paraId="1594D9CF" w14:textId="3621E2D3">
            <w:pPr>
              <w:spacing w:after="0" w:line="240" w:lineRule="auto"/>
              <w:textAlignment w:val="baseline"/>
              <w:rPr>
                <w:rFonts w:eastAsia="Times New Roman" w:cstheme="minorHAnsi"/>
                <w:sz w:val="20"/>
                <w:szCs w:val="20"/>
                <w:lang w:eastAsia="en-GB"/>
              </w:rPr>
            </w:pPr>
          </w:p>
        </w:tc>
      </w:tr>
      <w:tr w:rsidRPr="007E54DC" w:rsidR="00EA7923" w:rsidTr="00D9156A" w14:paraId="7114E1B7" w14:textId="77777777">
        <w:trPr>
          <w:trHeight w:val="96"/>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24F5A62B" w:rsidRDefault="2876F3C4" w14:paraId="15B780DB" w14:textId="2E124526">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 xml:space="preserve">Announcement at </w:t>
            </w:r>
            <w:r w:rsidRPr="007E54DC" w:rsidR="3DF4B663">
              <w:rPr>
                <w:rFonts w:eastAsia="Times New Roman" w:cstheme="minorHAnsi"/>
                <w:sz w:val="20"/>
                <w:szCs w:val="20"/>
                <w:lang w:eastAsia="en-GB"/>
              </w:rPr>
              <w:t xml:space="preserve">Our Ocean </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F258C1" w14:paraId="3BD71E83" w14:textId="7BD73D1D">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Comms</w:t>
            </w:r>
          </w:p>
        </w:tc>
        <w:tc>
          <w:tcPr>
            <w:tcW w:w="1498" w:type="dxa"/>
            <w:tcBorders>
              <w:top w:val="nil"/>
              <w:left w:val="nil"/>
              <w:bottom w:val="single" w:color="auto" w:sz="6" w:space="0"/>
              <w:right w:val="single" w:color="auto" w:sz="6" w:space="0"/>
            </w:tcBorders>
            <w:shd w:val="clear" w:color="auto" w:fill="auto"/>
            <w:hideMark/>
          </w:tcPr>
          <w:p w:rsidRPr="007E54DC" w:rsidR="00EA7923" w:rsidP="24F5A62B" w:rsidRDefault="00EA7923" w14:paraId="1CECF4B0" w14:textId="03C6071C">
            <w:pPr>
              <w:spacing w:after="0" w:line="240" w:lineRule="auto"/>
              <w:jc w:val="center"/>
              <w:textAlignment w:val="baseline"/>
              <w:rPr>
                <w:rFonts w:eastAsia="Times New Roman" w:cstheme="minorHAnsi"/>
                <w:sz w:val="20"/>
                <w:szCs w:val="20"/>
                <w:lang w:eastAsia="en-GB"/>
              </w:rPr>
            </w:pPr>
          </w:p>
          <w:p w:rsidRPr="007E54DC" w:rsidR="00EA7923" w:rsidP="24F5A62B" w:rsidRDefault="469E7F63" w14:paraId="46BA4FF8" w14:textId="32AB53E1">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March 2023</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2876F3C4" w14:paraId="749AC8C3" w14:textId="1B9B452F">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 xml:space="preserve">Announce uplift of funding at </w:t>
            </w:r>
            <w:r w:rsidRPr="007E54DC" w:rsidR="12637315">
              <w:rPr>
                <w:rFonts w:eastAsia="Times New Roman" w:cstheme="minorHAnsi"/>
                <w:sz w:val="20"/>
                <w:szCs w:val="20"/>
                <w:lang w:eastAsia="en-GB"/>
              </w:rPr>
              <w:t>Our Ocean</w:t>
            </w:r>
            <w:r w:rsidRPr="007E54DC">
              <w:rPr>
                <w:rFonts w:eastAsia="Times New Roman" w:cstheme="minorHAnsi"/>
                <w:sz w:val="20"/>
                <w:szCs w:val="20"/>
                <w:lang w:eastAsia="en-GB"/>
              </w:rPr>
              <w:t>; showing UK’ positive political stance on ocean conservation, in addition to harnessing potential to leverage additional funding.</w:t>
            </w:r>
          </w:p>
        </w:tc>
      </w:tr>
      <w:tr w:rsidRPr="007E54DC" w:rsidR="00EA7923" w:rsidTr="00D9156A" w14:paraId="32530AA0" w14:textId="77777777">
        <w:trPr>
          <w:trHeight w:val="483"/>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003174AA" w:rsidRDefault="00F258C1" w14:paraId="49241381" w14:textId="3C83CABB">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First disbursement of f</w:t>
            </w:r>
            <w:r w:rsidRPr="007E54DC" w:rsidR="00EA7923">
              <w:rPr>
                <w:rFonts w:eastAsia="Times New Roman" w:cstheme="minorHAnsi"/>
                <w:sz w:val="20"/>
                <w:szCs w:val="20"/>
                <w:lang w:eastAsia="en-GB"/>
              </w:rPr>
              <w:t>unds released</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F258C1" w14:paraId="080D169B" w14:textId="430C62FF">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Finance</w:t>
            </w:r>
          </w:p>
        </w:tc>
        <w:tc>
          <w:tcPr>
            <w:tcW w:w="1498" w:type="dxa"/>
            <w:tcBorders>
              <w:top w:val="nil"/>
              <w:left w:val="nil"/>
              <w:bottom w:val="single" w:color="auto" w:sz="6" w:space="0"/>
              <w:right w:val="single" w:color="auto" w:sz="6" w:space="0"/>
            </w:tcBorders>
            <w:shd w:val="clear" w:color="auto" w:fill="auto"/>
            <w:hideMark/>
          </w:tcPr>
          <w:p w:rsidRPr="007E54DC" w:rsidR="00EA7923" w:rsidP="24F5A62B" w:rsidRDefault="73E090A7" w14:paraId="7928EA82" w14:textId="56D07071">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March 23</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00F258C1" w14:paraId="31B971E4" w14:textId="4A0DA723">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Dependent on new SSA being signed and agreed</w:t>
            </w:r>
          </w:p>
        </w:tc>
      </w:tr>
      <w:tr w:rsidRPr="007E54DC" w:rsidR="00EA7923" w:rsidTr="00D9156A" w14:paraId="30282C66" w14:textId="77777777">
        <w:trPr>
          <w:trHeight w:val="96"/>
          <w:jc w:val="center"/>
        </w:trPr>
        <w:tc>
          <w:tcPr>
            <w:tcW w:w="2654" w:type="dxa"/>
            <w:tcBorders>
              <w:top w:val="nil"/>
              <w:left w:val="single" w:color="auto" w:sz="6" w:space="0"/>
              <w:bottom w:val="single" w:color="auto" w:sz="6" w:space="0"/>
              <w:right w:val="single" w:color="auto" w:sz="6" w:space="0"/>
            </w:tcBorders>
            <w:shd w:val="clear" w:color="auto" w:fill="auto"/>
            <w:vAlign w:val="bottom"/>
            <w:hideMark/>
          </w:tcPr>
          <w:p w:rsidRPr="007E54DC" w:rsidR="00EA7923" w:rsidP="003174AA" w:rsidRDefault="00EA7923" w14:paraId="5483236D"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Year 2 Annual Review</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F258C1" w14:paraId="45F2E6A9" w14:textId="764D8064">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Programme management</w:t>
            </w:r>
          </w:p>
        </w:tc>
        <w:tc>
          <w:tcPr>
            <w:tcW w:w="1498" w:type="dxa"/>
            <w:tcBorders>
              <w:top w:val="nil"/>
              <w:left w:val="nil"/>
              <w:bottom w:val="single" w:color="auto" w:sz="6" w:space="0"/>
              <w:right w:val="single" w:color="auto" w:sz="6" w:space="0"/>
            </w:tcBorders>
            <w:shd w:val="clear" w:color="auto" w:fill="auto"/>
            <w:hideMark/>
          </w:tcPr>
          <w:p w:rsidRPr="007E54DC" w:rsidR="00EA7923" w:rsidP="003174AA" w:rsidRDefault="00F258C1" w14:paraId="1287C7F9" w14:textId="3FF4240F">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 xml:space="preserve">July </w:t>
            </w:r>
            <w:r w:rsidRPr="007E54DC" w:rsidR="00EA7923">
              <w:rPr>
                <w:rFonts w:eastAsia="Times New Roman" w:cstheme="minorHAnsi"/>
                <w:sz w:val="20"/>
                <w:szCs w:val="20"/>
                <w:lang w:eastAsia="en-GB"/>
              </w:rPr>
              <w:t>2023</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00EA7923" w14:paraId="7E0F687B" w14:textId="77777777">
            <w:pPr>
              <w:keepNext/>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Assessment of fund to date</w:t>
            </w:r>
          </w:p>
        </w:tc>
      </w:tr>
    </w:tbl>
    <w:p w:rsidRPr="007E54DC" w:rsidR="00D07146" w:rsidP="00D9156A" w:rsidRDefault="00EE1CBB" w14:paraId="0470B828" w14:textId="1C2277C8">
      <w:pPr>
        <w:pStyle w:val="Caption"/>
        <w:rPr>
          <w:noProof/>
        </w:rPr>
      </w:pPr>
      <w:bookmarkStart w:name="_Toc132104923" w:id="75"/>
      <w:r w:rsidRPr="007E54DC">
        <w:t xml:space="preserve">Table </w:t>
      </w:r>
      <w:r w:rsidRPr="007E54DC">
        <w:fldChar w:fldCharType="begin"/>
      </w:r>
      <w:r w:rsidRPr="007E54DC">
        <w:instrText>SEQ Table \* ARABIC</w:instrText>
      </w:r>
      <w:r w:rsidRPr="007E54DC">
        <w:fldChar w:fldCharType="separate"/>
      </w:r>
      <w:r w:rsidR="00B9356F">
        <w:rPr>
          <w:noProof/>
        </w:rPr>
        <w:t>13</w:t>
      </w:r>
      <w:r w:rsidRPr="007E54DC">
        <w:fldChar w:fldCharType="end"/>
      </w:r>
      <w:r w:rsidR="000473E7">
        <w:t>3</w:t>
      </w:r>
      <w:r w:rsidRPr="007E54DC">
        <w:rPr>
          <w:noProof/>
        </w:rPr>
        <w:t xml:space="preserve"> Critical pathway for the GFCR programme</w:t>
      </w:r>
      <w:bookmarkEnd w:id="75"/>
      <w:r w:rsidRPr="007E54DC">
        <w:rPr>
          <w:noProof/>
        </w:rPr>
        <w:t xml:space="preserve"> </w:t>
      </w:r>
    </w:p>
    <w:p w:rsidRPr="007E54DC" w:rsidR="00913024" w:rsidP="00913024" w:rsidRDefault="00913024" w14:paraId="4F39E08F" w14:textId="77777777"/>
    <w:p w:rsidRPr="007E54DC" w:rsidR="00913024" w:rsidP="00913024" w:rsidRDefault="00913024" w14:paraId="1CEE1710" w14:textId="77777777"/>
    <w:p w:rsidRPr="007E54DC" w:rsidR="00913024" w:rsidP="00913024" w:rsidRDefault="00913024" w14:paraId="6E09EA00" w14:textId="254449B0"/>
    <w:p w:rsidRPr="007E54DC" w:rsidR="007E54DC" w:rsidP="00913024" w:rsidRDefault="007E54DC" w14:paraId="47CBBDBA" w14:textId="6E3A6BC6"/>
    <w:p w:rsidRPr="007E54DC" w:rsidR="007E54DC" w:rsidP="00913024" w:rsidRDefault="007E54DC" w14:paraId="524577A6" w14:textId="4E0C0AB9"/>
    <w:p w:rsidRPr="007E54DC" w:rsidR="007E54DC" w:rsidP="00913024" w:rsidRDefault="007E54DC" w14:paraId="3F0438DE" w14:textId="20067870"/>
    <w:p w:rsidRPr="007E54DC" w:rsidR="007E54DC" w:rsidP="00913024" w:rsidRDefault="007E54DC" w14:paraId="334727B8" w14:textId="4BCB9F2D"/>
    <w:p w:rsidRPr="007E54DC" w:rsidR="007E54DC" w:rsidP="00913024" w:rsidRDefault="007E54DC" w14:paraId="5DA65950" w14:textId="77777777"/>
    <w:p w:rsidRPr="007E54DC" w:rsidR="00913024" w:rsidP="00913024" w:rsidRDefault="00913024" w14:paraId="5023B358" w14:textId="77777777"/>
    <w:p w:rsidRPr="007E54DC" w:rsidR="006E055F" w:rsidP="006E055F" w:rsidRDefault="006E055F" w14:paraId="3EDB3F63" w14:textId="4CF59562" w14:noSpellErr="1">
      <w:pPr>
        <w:pStyle w:val="Heading1"/>
        <w:rPr/>
      </w:pPr>
      <w:bookmarkStart w:name="_Toc1583922192" w:id="365324118"/>
      <w:r w:rsidR="006E055F">
        <w:rPr/>
        <w:t>Annexes</w:t>
      </w:r>
      <w:bookmarkEnd w:id="365324118"/>
    </w:p>
    <w:p w:rsidRPr="007E54DC" w:rsidR="00F202FF" w:rsidP="00F202FF" w:rsidRDefault="00F202FF" w14:paraId="6001DE32" w14:textId="77777777" w14:noSpellErr="1">
      <w:pPr>
        <w:pStyle w:val="Heading2"/>
        <w:rPr/>
      </w:pPr>
      <w:bookmarkStart w:name="_Annex_A_–" w:id="77"/>
      <w:bookmarkEnd w:id="77"/>
      <w:bookmarkStart w:name="_Toc1749069896" w:id="1465781078"/>
      <w:r w:rsidR="00F202FF">
        <w:rPr/>
        <w:t>Annex A– GFCR Theory of Change model</w:t>
      </w:r>
      <w:bookmarkEnd w:id="1465781078"/>
    </w:p>
    <w:p w:rsidRPr="007E54DC" w:rsidR="002D4627" w:rsidP="002D4627" w:rsidRDefault="002D4627" w14:paraId="75691865" w14:textId="62369DAD">
      <w:pPr>
        <w:pStyle w:val="Caption"/>
        <w:keepNext/>
      </w:pPr>
      <w:bookmarkStart w:name="_Toc121907671" w:id="79"/>
      <w:r w:rsidRPr="007E54DC">
        <w:t xml:space="preserve">Figure </w:t>
      </w:r>
      <w:r w:rsidRPr="007E54DC">
        <w:fldChar w:fldCharType="begin"/>
      </w:r>
      <w:r w:rsidRPr="007E54DC">
        <w:instrText>SEQ Figure \* ARABIC</w:instrText>
      </w:r>
      <w:r w:rsidRPr="007E54DC">
        <w:fldChar w:fldCharType="separate"/>
      </w:r>
      <w:r w:rsidR="00B9356F">
        <w:rPr>
          <w:noProof/>
        </w:rPr>
        <w:t>3</w:t>
      </w:r>
      <w:r w:rsidRPr="007E54DC">
        <w:fldChar w:fldCharType="end"/>
      </w:r>
      <w:r w:rsidRPr="007E54DC">
        <w:t xml:space="preserve"> </w:t>
      </w:r>
      <w:r w:rsidRPr="007E54DC" w:rsidR="001302EF">
        <w:t xml:space="preserve">- </w:t>
      </w:r>
      <w:r w:rsidRPr="007E54DC" w:rsidR="001302EF">
        <w:rPr>
          <w:noProof/>
        </w:rPr>
        <w:t>GFCR</w:t>
      </w:r>
      <w:r w:rsidRPr="007E54DC">
        <w:rPr>
          <w:noProof/>
        </w:rPr>
        <w:t xml:space="preserve"> Theory of Change</w:t>
      </w:r>
      <w:bookmarkEnd w:id="79"/>
    </w:p>
    <w:p w:rsidRPr="007E54DC" w:rsidR="00F202FF" w:rsidP="002D4627" w:rsidRDefault="00F202FF" w14:paraId="42B60B6A" w14:textId="77777777">
      <w:pPr>
        <w:keepNext/>
        <w:jc w:val="center"/>
      </w:pPr>
      <w:r w:rsidRPr="007E54DC">
        <w:rPr>
          <w:noProof/>
        </w:rPr>
        <w:drawing>
          <wp:inline distT="0" distB="0" distL="0" distR="0" wp14:anchorId="363AC317" wp14:editId="075B0DEB">
            <wp:extent cx="5247640" cy="6010275"/>
            <wp:effectExtent l="0" t="0" r="0" b="952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b="3299"/>
                    <a:stretch/>
                  </pic:blipFill>
                  <pic:spPr bwMode="auto">
                    <a:xfrm>
                      <a:off x="0" y="0"/>
                      <a:ext cx="5254548" cy="6018187"/>
                    </a:xfrm>
                    <a:prstGeom prst="rect">
                      <a:avLst/>
                    </a:prstGeom>
                    <a:ln>
                      <a:noFill/>
                    </a:ln>
                    <a:extLst>
                      <a:ext uri="{53640926-AAD7-44D8-BBD7-CCE9431645EC}">
                        <a14:shadowObscured xmlns:a14="http://schemas.microsoft.com/office/drawing/2010/main"/>
                      </a:ext>
                    </a:extLst>
                  </pic:spPr>
                </pic:pic>
              </a:graphicData>
            </a:graphic>
          </wp:inline>
        </w:drawing>
      </w:r>
    </w:p>
    <w:p w:rsidRPr="007E54DC" w:rsidR="00F202FF" w:rsidP="00F202FF" w:rsidRDefault="00F202FF" w14:paraId="5CE0C6E2" w14:textId="38428BB5">
      <w:pPr>
        <w:pStyle w:val="Caption"/>
        <w:rPr>
          <w:noProof/>
        </w:rPr>
      </w:pPr>
    </w:p>
    <w:p w:rsidRPr="007E54DC" w:rsidR="00947D53" w:rsidP="00947D53" w:rsidRDefault="00947D53" w14:paraId="2FDE92D0" w14:textId="77777777"/>
    <w:p w:rsidRPr="007E54DC" w:rsidR="00947D53" w:rsidP="00947D53" w:rsidRDefault="00947D53" w14:paraId="6769C6F0" w14:textId="77777777"/>
    <w:p w:rsidRPr="007E54DC" w:rsidR="00F202FF" w:rsidP="00F202FF" w:rsidRDefault="00F202FF" w14:paraId="735FDA1B" w14:textId="77777777"/>
    <w:p w:rsidRPr="007E54DC" w:rsidR="0063729D" w:rsidP="0022760D" w:rsidRDefault="006E055F" w14:paraId="639E25FA" w14:textId="495A50A2" w14:noSpellErr="1">
      <w:pPr>
        <w:pStyle w:val="Heading2"/>
        <w:rPr/>
      </w:pPr>
      <w:bookmarkStart w:name="_Toc1953516438" w:id="1437329389"/>
      <w:r w:rsidR="006E055F">
        <w:rPr/>
        <w:t xml:space="preserve">Annex </w:t>
      </w:r>
      <w:r w:rsidR="00F202FF">
        <w:rPr/>
        <w:t>B</w:t>
      </w:r>
      <w:r w:rsidR="006E055F">
        <w:rPr/>
        <w:t xml:space="preserve"> –</w:t>
      </w:r>
      <w:r w:rsidR="3DEC54ED">
        <w:rPr/>
        <w:t xml:space="preserve"> </w:t>
      </w:r>
      <w:r w:rsidR="003851E7">
        <w:rPr/>
        <w:t>Comparison between GFCR and similar funds</w:t>
      </w:r>
      <w:bookmarkEnd w:id="1437329389"/>
    </w:p>
    <w:tbl>
      <w:tblPr>
        <w:tblW w:w="89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50"/>
        <w:gridCol w:w="3540"/>
        <w:gridCol w:w="3195"/>
      </w:tblGrid>
      <w:tr w:rsidRPr="007E54DC" w:rsidR="003851E7" w:rsidTr="003851E7" w14:paraId="0DF24423"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0BEF2D47" w14:textId="77777777">
            <w:pPr>
              <w:spacing w:after="0" w:line="240" w:lineRule="auto"/>
              <w:textAlignment w:val="baseline"/>
              <w:rPr>
                <w:rFonts w:eastAsia="Times New Roman" w:cstheme="minorHAnsi"/>
                <w:lang w:eastAsia="en-GB"/>
              </w:rPr>
            </w:pPr>
            <w:r w:rsidRPr="007E54DC">
              <w:rPr>
                <w:rFonts w:eastAsia="Times New Roman" w:cstheme="minorHAnsi"/>
                <w:b/>
                <w:bCs/>
                <w:lang w:eastAsia="en-GB"/>
              </w:rPr>
              <w:t>Programme </w:t>
            </w:r>
            <w:r w:rsidRPr="007E54DC">
              <w:rPr>
                <w:rFonts w:eastAsia="Times New Roman" w:cstheme="minorHAnsi"/>
                <w:lang w:eastAsia="en-GB"/>
              </w:rPr>
              <w:t> </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71A8A1D8" w14:textId="77777777">
            <w:pPr>
              <w:spacing w:after="0" w:line="240" w:lineRule="auto"/>
              <w:textAlignment w:val="baseline"/>
              <w:rPr>
                <w:rFonts w:eastAsia="Times New Roman" w:cstheme="minorHAnsi"/>
                <w:lang w:eastAsia="en-GB"/>
              </w:rPr>
            </w:pPr>
            <w:r w:rsidRPr="007E54DC">
              <w:rPr>
                <w:rFonts w:eastAsia="Times New Roman" w:cstheme="minorHAnsi"/>
                <w:b/>
                <w:bCs/>
                <w:lang w:eastAsia="en-GB"/>
              </w:rPr>
              <w:t>Purpose &amp; objectives </w:t>
            </w:r>
            <w:r w:rsidRPr="007E54DC">
              <w:rPr>
                <w:rFonts w:eastAsia="Times New Roman" w:cstheme="minorHAnsi"/>
                <w:lang w:eastAsia="en-GB"/>
              </w:rPr>
              <w:t>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6D55C1A2" w14:textId="77777777">
            <w:pPr>
              <w:spacing w:after="0" w:line="240" w:lineRule="auto"/>
              <w:textAlignment w:val="baseline"/>
              <w:rPr>
                <w:rFonts w:eastAsia="Times New Roman" w:cstheme="minorHAnsi"/>
                <w:lang w:eastAsia="en-GB"/>
              </w:rPr>
            </w:pPr>
            <w:r w:rsidRPr="007E54DC">
              <w:rPr>
                <w:rFonts w:eastAsia="Times New Roman" w:cstheme="minorHAnsi"/>
                <w:b/>
                <w:bCs/>
                <w:lang w:eastAsia="en-GB"/>
              </w:rPr>
              <w:t>How it differs from GFCR </w:t>
            </w:r>
            <w:r w:rsidRPr="007E54DC">
              <w:rPr>
                <w:rFonts w:eastAsia="Times New Roman" w:cstheme="minorHAnsi"/>
                <w:lang w:eastAsia="en-GB"/>
              </w:rPr>
              <w:t> </w:t>
            </w:r>
          </w:p>
        </w:tc>
      </w:tr>
      <w:tr w:rsidRPr="007E54DC" w:rsidR="003851E7" w:rsidTr="003851E7" w14:paraId="5DDF8D23"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222CB5ED"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Blue Action Fund (BAF) </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284C1C51" w14:textId="3E3D586B">
            <w:pPr>
              <w:spacing w:after="0" w:line="240" w:lineRule="auto"/>
              <w:jc w:val="left"/>
              <w:textAlignment w:val="baseline"/>
              <w:rPr>
                <w:rFonts w:eastAsia="Times New Roman" w:cstheme="minorHAnsi"/>
                <w:lang w:eastAsia="en-GB"/>
              </w:rPr>
            </w:pPr>
            <w:r w:rsidRPr="007E54DC">
              <w:rPr>
                <w:rFonts w:eastAsia="Times New Roman" w:cstheme="minorHAnsi"/>
                <w:lang w:eastAsia="en-GB"/>
              </w:rPr>
              <w:t xml:space="preserve">Provides grants to conservation projects that hope to establish, </w:t>
            </w:r>
            <w:r w:rsidRPr="007E54DC" w:rsidR="00D14ACA">
              <w:rPr>
                <w:rFonts w:eastAsia="Times New Roman" w:cstheme="minorHAnsi"/>
                <w:lang w:eastAsia="en-GB"/>
              </w:rPr>
              <w:t>enlarge,</w:t>
            </w:r>
            <w:r w:rsidRPr="007E54DC">
              <w:rPr>
                <w:rFonts w:eastAsia="Times New Roman" w:cstheme="minorHAnsi"/>
                <w:lang w:eastAsia="en-GB"/>
              </w:rPr>
              <w:t xml:space="preserve"> or better manage MPAs and promote sustainable livelihoods in coastal communities.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0AE71364"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Grants that are distributed mainly for marine and coastal conservation projects. Does not have a coral reef focus. </w:t>
            </w:r>
          </w:p>
        </w:tc>
      </w:tr>
      <w:tr w:rsidRPr="007E54DC" w:rsidR="003851E7" w:rsidTr="003851E7" w14:paraId="733EC846"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64365F30"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Global Environment Facility (GEF) </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14EEAEB9"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Set up to tackle our planet’s most pressing environmental problems. Provides grants and mobilises finance through co-finances projects around the world.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23B1B378"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Development of national and sub-national ocean economic activities. Focus on global environmental benefits. </w:t>
            </w:r>
          </w:p>
        </w:tc>
      </w:tr>
      <w:tr w:rsidRPr="007E54DC" w:rsidR="003851E7" w:rsidTr="003851E7" w14:paraId="25FB09F4"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4A9622C9" w14:textId="13A2F175">
            <w:pPr>
              <w:spacing w:after="0" w:line="240" w:lineRule="auto"/>
              <w:jc w:val="left"/>
              <w:textAlignment w:val="baseline"/>
              <w:rPr>
                <w:rFonts w:eastAsia="Times New Roman" w:cstheme="minorHAnsi"/>
                <w:lang w:eastAsia="en-GB"/>
              </w:rPr>
            </w:pPr>
            <w:r w:rsidRPr="007E54DC">
              <w:rPr>
                <w:rFonts w:eastAsia="Times New Roman" w:cstheme="minorHAnsi"/>
                <w:lang w:eastAsia="en-GB"/>
              </w:rPr>
              <w:t>Ocean Risk and Resilience Action Alliance (ORRAA)</w:t>
            </w:r>
            <w:r w:rsidRPr="007E54DC" w:rsidR="00D9156A">
              <w:rPr>
                <w:rFonts w:eastAsia="Times New Roman" w:cstheme="minorHAnsi"/>
                <w:lang w:eastAsia="en-GB"/>
              </w:rPr>
              <w:t>*</w:t>
            </w:r>
            <w:r w:rsidRPr="007E54DC">
              <w:rPr>
                <w:rFonts w:eastAsia="Times New Roman" w:cstheme="minorHAnsi"/>
                <w:lang w:eastAsia="en-GB"/>
              </w:rPr>
              <w:t> </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7CC14E82"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 xml:space="preserve">Multi-sector model which aims to pioneers finance and insurance models </w:t>
            </w:r>
            <w:r w:rsidRPr="007E54DC">
              <w:rPr>
                <w:rFonts w:eastAsia="Times New Roman" w:cstheme="minorHAnsi"/>
                <w:shd w:val="clear" w:color="auto" w:fill="FFFFFF"/>
                <w:lang w:eastAsia="en-GB"/>
              </w:rPr>
              <w:t>that incentivise investment into nature-based solutions, with a focus on protecting the regions and communities that need it most.</w:t>
            </w:r>
            <w:r w:rsidRPr="007E54DC">
              <w:rPr>
                <w:rFonts w:eastAsia="Times New Roman" w:cstheme="minorHAnsi"/>
                <w:lang w:eastAsia="en-GB"/>
              </w:rPr>
              <w:t>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1EEDDB19"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 xml:space="preserve">Financial mechanisms to increase ocean resilience, notably insurance models which GFCR cannot commit investment to yet. Will provide crucial foundation for the activities of the GFCR grant window. No coral </w:t>
            </w:r>
            <w:proofErr w:type="gramStart"/>
            <w:r w:rsidRPr="007E54DC">
              <w:rPr>
                <w:rFonts w:eastAsia="Times New Roman" w:cstheme="minorHAnsi"/>
                <w:lang w:eastAsia="en-GB"/>
              </w:rPr>
              <w:t>focus</w:t>
            </w:r>
            <w:proofErr w:type="gramEnd"/>
            <w:r w:rsidRPr="007E54DC">
              <w:rPr>
                <w:rFonts w:eastAsia="Times New Roman" w:cstheme="minorHAnsi"/>
                <w:lang w:eastAsia="en-GB"/>
              </w:rPr>
              <w:t>. </w:t>
            </w:r>
          </w:p>
        </w:tc>
      </w:tr>
      <w:tr w:rsidRPr="007E54DC" w:rsidR="003851E7" w:rsidTr="003851E7" w14:paraId="679F56C5"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2AB98E23" w14:textId="6D15DF75">
            <w:pPr>
              <w:spacing w:after="0" w:line="240" w:lineRule="auto"/>
              <w:jc w:val="left"/>
              <w:textAlignment w:val="baseline"/>
              <w:rPr>
                <w:rFonts w:eastAsia="Times New Roman" w:cstheme="minorHAnsi"/>
                <w:lang w:eastAsia="en-GB"/>
              </w:rPr>
            </w:pPr>
            <w:proofErr w:type="spellStart"/>
            <w:r w:rsidRPr="007E54DC">
              <w:rPr>
                <w:rFonts w:eastAsia="Times New Roman" w:cstheme="minorHAnsi"/>
                <w:lang w:eastAsia="en-GB"/>
              </w:rPr>
              <w:t>ProBlue</w:t>
            </w:r>
            <w:proofErr w:type="spellEnd"/>
            <w:r w:rsidRPr="007E54DC" w:rsidR="00D9156A">
              <w:rPr>
                <w:rFonts w:eastAsia="Times New Roman" w:cstheme="minorHAnsi"/>
                <w:lang w:eastAsia="en-GB"/>
              </w:rPr>
              <w:t>*</w:t>
            </w:r>
            <w:r w:rsidRPr="007E54DC">
              <w:rPr>
                <w:rFonts w:eastAsia="Times New Roman" w:cstheme="minorHAnsi"/>
                <w:lang w:eastAsia="en-GB"/>
              </w:rPr>
              <w:t> </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2B8EACE8"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The World Bank’s umbrella multi-donor trust fund, that supports the sustainable and integrated development of marine and coastal resources.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1B8C121B"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Development of national and sub-national ocean economic activities. Fund investments focus on all seascapes, no coral focus. Contributions are primarily by government agencies and public financial institutions. </w:t>
            </w:r>
          </w:p>
        </w:tc>
      </w:tr>
      <w:tr w:rsidRPr="007E54DC" w:rsidR="003851E7" w:rsidTr="003851E7" w14:paraId="7F737C0B"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66D0AFE9" w14:textId="2619C04C">
            <w:pPr>
              <w:spacing w:after="0" w:line="240" w:lineRule="auto"/>
              <w:jc w:val="left"/>
              <w:textAlignment w:val="baseline"/>
              <w:rPr>
                <w:rFonts w:eastAsia="Times New Roman" w:cstheme="minorHAnsi"/>
                <w:lang w:eastAsia="en-GB"/>
              </w:rPr>
            </w:pPr>
            <w:r w:rsidRPr="007E54DC">
              <w:rPr>
                <w:rFonts w:eastAsia="Times New Roman" w:cstheme="minorHAnsi"/>
                <w:lang w:eastAsia="en-GB"/>
              </w:rPr>
              <w:t>Global Ocean Accounts Partnership (GOAP)</w:t>
            </w:r>
            <w:r w:rsidRPr="007E54DC" w:rsidR="00D9156A">
              <w:rPr>
                <w:rFonts w:eastAsia="Times New Roman" w:cstheme="minorHAnsi"/>
                <w:lang w:eastAsia="en-GB"/>
              </w:rPr>
              <w:t>*</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6EF97082"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Objective is to support countries to develop and subsequently embed ocean accounts so that they can be used to inform inclusive and sustainable decisions relating to marine resources  </w:t>
            </w:r>
          </w:p>
          <w:p w:rsidRPr="007E54DC" w:rsidR="003851E7" w:rsidP="00F57CA1" w:rsidRDefault="003851E7" w14:paraId="725E1685"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1E92F0B8"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Takes stock of the state of a habitat on a regular basis and uses this information to make decisions. No coral reef focus, pilot sites are country focused and led by need.  </w:t>
            </w:r>
          </w:p>
          <w:p w:rsidRPr="007E54DC" w:rsidR="003851E7" w:rsidP="00F57CA1" w:rsidRDefault="003851E7" w14:paraId="062974D3"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 </w:t>
            </w:r>
          </w:p>
        </w:tc>
      </w:tr>
      <w:tr w:rsidRPr="007E54DC" w:rsidR="003851E7" w:rsidTr="003851E7" w14:paraId="4250D19D" w14:textId="77777777">
        <w:tc>
          <w:tcPr>
            <w:tcW w:w="2250" w:type="dxa"/>
            <w:tcBorders>
              <w:top w:val="single" w:color="auto" w:sz="6" w:space="0"/>
              <w:left w:val="single" w:color="auto" w:sz="6" w:space="0"/>
              <w:bottom w:val="single" w:color="auto" w:sz="6" w:space="0"/>
              <w:right w:val="single" w:color="auto" w:sz="6" w:space="0"/>
            </w:tcBorders>
            <w:shd w:val="clear" w:color="auto" w:fill="auto"/>
          </w:tcPr>
          <w:p w:rsidRPr="007E54DC" w:rsidR="003851E7" w:rsidP="00F57CA1" w:rsidRDefault="003851E7" w14:paraId="35872D20" w14:textId="44F2FD26">
            <w:pPr>
              <w:spacing w:after="0" w:line="240" w:lineRule="auto"/>
              <w:jc w:val="left"/>
              <w:textAlignment w:val="baseline"/>
              <w:rPr>
                <w:rFonts w:eastAsia="Times New Roman" w:cstheme="minorHAnsi"/>
                <w:lang w:eastAsia="en-GB"/>
              </w:rPr>
            </w:pPr>
            <w:r w:rsidRPr="007E54DC">
              <w:rPr>
                <w:rFonts w:eastAsia="Times New Roman" w:cstheme="minorHAnsi"/>
                <w:lang w:eastAsia="en-GB"/>
              </w:rPr>
              <w:t>Ocean Country Partnership Programme</w:t>
            </w:r>
            <w:r w:rsidRPr="007E54DC" w:rsidR="00F36C78">
              <w:rPr>
                <w:rFonts w:eastAsia="Times New Roman" w:cstheme="minorHAnsi"/>
                <w:lang w:eastAsia="en-GB"/>
              </w:rPr>
              <w:t xml:space="preserve"> (OCPP)</w:t>
            </w:r>
            <w:r w:rsidRPr="007E54DC" w:rsidR="00D9156A">
              <w:rPr>
                <w:rFonts w:eastAsia="Times New Roman" w:cstheme="minorHAnsi"/>
                <w:lang w:eastAsia="en-GB"/>
              </w:rPr>
              <w:t>*</w:t>
            </w:r>
          </w:p>
        </w:tc>
        <w:tc>
          <w:tcPr>
            <w:tcW w:w="3540" w:type="dxa"/>
            <w:tcBorders>
              <w:top w:val="single" w:color="auto" w:sz="6" w:space="0"/>
              <w:left w:val="single" w:color="auto" w:sz="6" w:space="0"/>
              <w:bottom w:val="single" w:color="auto" w:sz="6" w:space="0"/>
              <w:right w:val="single" w:color="auto" w:sz="6" w:space="0"/>
            </w:tcBorders>
            <w:shd w:val="clear" w:color="auto" w:fill="auto"/>
          </w:tcPr>
          <w:p w:rsidRPr="007E54DC" w:rsidR="003851E7" w:rsidP="00F57CA1" w:rsidRDefault="00F36C78" w14:paraId="1DDAEF2E" w14:textId="7F05A22C">
            <w:pPr>
              <w:spacing w:after="0" w:line="240" w:lineRule="auto"/>
              <w:jc w:val="left"/>
              <w:textAlignment w:val="baseline"/>
              <w:rPr>
                <w:rFonts w:eastAsia="Times New Roman" w:cstheme="minorHAnsi"/>
                <w:lang w:eastAsia="en-GB"/>
              </w:rPr>
            </w:pPr>
            <w:r w:rsidRPr="007E54DC">
              <w:rPr>
                <w:rFonts w:cstheme="minorHAnsi"/>
                <w:color w:val="000000"/>
                <w:shd w:val="clear" w:color="auto" w:fill="FFFFFF"/>
              </w:rPr>
              <w:t xml:space="preserve"> U</w:t>
            </w:r>
            <w:r w:rsidRPr="007E54DC">
              <w:rPr>
                <w:rStyle w:val="normaltextrun"/>
                <w:rFonts w:cstheme="minorHAnsi"/>
                <w:color w:val="000000"/>
                <w:shd w:val="clear" w:color="auto" w:fill="FFFFFF"/>
              </w:rPr>
              <w:t>nder the OCPP, the UK is partnering with ODA eligible countries to exchange science, research, and development expertise to address marine environmental challenges across three key themes: marine pollution, marine biodiversity, and sustainable seafood. </w:t>
            </w:r>
            <w:r w:rsidRPr="007E54DC">
              <w:rPr>
                <w:rStyle w:val="eop"/>
                <w:rFonts w:cstheme="minorHAnsi"/>
                <w:color w:val="000000"/>
                <w:shd w:val="clear" w:color="auto" w:fill="FFFFFF"/>
              </w:rPr>
              <w:t> </w:t>
            </w:r>
          </w:p>
        </w:tc>
        <w:tc>
          <w:tcPr>
            <w:tcW w:w="3195" w:type="dxa"/>
            <w:tcBorders>
              <w:top w:val="single" w:color="auto" w:sz="6" w:space="0"/>
              <w:left w:val="single" w:color="auto" w:sz="6" w:space="0"/>
              <w:bottom w:val="single" w:color="auto" w:sz="6" w:space="0"/>
              <w:right w:val="single" w:color="auto" w:sz="6" w:space="0"/>
            </w:tcBorders>
            <w:shd w:val="clear" w:color="auto" w:fill="auto"/>
          </w:tcPr>
          <w:p w:rsidRPr="007E54DC" w:rsidR="003851E7" w:rsidP="0082611F" w:rsidRDefault="00F36C78" w14:paraId="73168748" w14:textId="4A1F3EDD">
            <w:pPr>
              <w:keepNext/>
              <w:spacing w:after="0" w:line="240" w:lineRule="auto"/>
              <w:jc w:val="left"/>
              <w:textAlignment w:val="baseline"/>
              <w:rPr>
                <w:rFonts w:eastAsia="Times New Roman" w:cstheme="minorHAnsi"/>
                <w:lang w:eastAsia="en-GB"/>
              </w:rPr>
            </w:pPr>
            <w:r w:rsidRPr="007E54DC">
              <w:rPr>
                <w:rStyle w:val="normaltextrun"/>
                <w:rFonts w:cstheme="minorHAnsi"/>
                <w:color w:val="000000"/>
                <w:bdr w:val="none" w:color="auto" w:sz="0" w:space="0" w:frame="1"/>
              </w:rPr>
              <w:t xml:space="preserve">The long-term impact of the programme </w:t>
            </w:r>
            <w:r w:rsidRPr="007E54DC" w:rsidR="004F54D8">
              <w:rPr>
                <w:rStyle w:val="normaltextrun"/>
                <w:rFonts w:cstheme="minorHAnsi"/>
                <w:color w:val="000000"/>
                <w:bdr w:val="none" w:color="auto" w:sz="0" w:space="0" w:frame="1"/>
              </w:rPr>
              <w:t>is to provide partner countries</w:t>
            </w:r>
            <w:r w:rsidRPr="007E54DC">
              <w:rPr>
                <w:rStyle w:val="normaltextrun"/>
                <w:rFonts w:cstheme="minorHAnsi"/>
                <w:color w:val="000000"/>
                <w:bdr w:val="none" w:color="auto" w:sz="0" w:space="0" w:frame="1"/>
              </w:rPr>
              <w:t xml:space="preserve"> skills and expertise to effectively access, </w:t>
            </w:r>
            <w:proofErr w:type="gramStart"/>
            <w:r w:rsidRPr="007E54DC">
              <w:rPr>
                <w:rStyle w:val="normaltextrun"/>
                <w:rFonts w:cstheme="minorHAnsi"/>
                <w:color w:val="000000"/>
                <w:bdr w:val="none" w:color="auto" w:sz="0" w:space="0" w:frame="1"/>
              </w:rPr>
              <w:t>develop</w:t>
            </w:r>
            <w:proofErr w:type="gramEnd"/>
            <w:r w:rsidRPr="007E54DC">
              <w:rPr>
                <w:rStyle w:val="normaltextrun"/>
                <w:rFonts w:cstheme="minorHAnsi"/>
                <w:color w:val="000000"/>
                <w:bdr w:val="none" w:color="auto" w:sz="0" w:space="0" w:frame="1"/>
              </w:rPr>
              <w:t xml:space="preserve"> and harness scientific knowledge and practise; and develop and implement evidence-informed, locally relevant policy.</w:t>
            </w:r>
            <w:r w:rsidRPr="007E54DC" w:rsidR="004F54D8">
              <w:rPr>
                <w:rStyle w:val="normaltextrun"/>
                <w:rFonts w:cstheme="minorHAnsi"/>
                <w:color w:val="000000"/>
                <w:bdr w:val="none" w:color="auto" w:sz="0" w:space="0" w:frame="1"/>
              </w:rPr>
              <w:t xml:space="preserve"> Does not have a specific coral reef focus.</w:t>
            </w:r>
          </w:p>
        </w:tc>
      </w:tr>
    </w:tbl>
    <w:p w:rsidRPr="007E54DC" w:rsidR="0082611F" w:rsidRDefault="0082611F" w14:paraId="09702161" w14:textId="42CADD94">
      <w:pPr>
        <w:pStyle w:val="Caption"/>
      </w:pPr>
      <w:bookmarkStart w:name="_Toc132104924" w:id="81"/>
      <w:r w:rsidRPr="007E54DC">
        <w:t xml:space="preserve">Table </w:t>
      </w:r>
      <w:r w:rsidRPr="007E54DC">
        <w:fldChar w:fldCharType="begin"/>
      </w:r>
      <w:r w:rsidRPr="007E54DC">
        <w:instrText>SEQ Table \* ARABIC</w:instrText>
      </w:r>
      <w:r w:rsidRPr="007E54DC">
        <w:fldChar w:fldCharType="separate"/>
      </w:r>
      <w:r w:rsidR="00B9356F">
        <w:rPr>
          <w:noProof/>
        </w:rPr>
        <w:t>14</w:t>
      </w:r>
      <w:r w:rsidRPr="007E54DC">
        <w:fldChar w:fldCharType="end"/>
      </w:r>
      <w:r w:rsidR="000473E7">
        <w:t>4</w:t>
      </w:r>
      <w:r w:rsidRPr="007E54DC">
        <w:rPr>
          <w:noProof/>
        </w:rPr>
        <w:t xml:space="preserve"> - Comparison between GFCR and similar funds</w:t>
      </w:r>
      <w:bookmarkEnd w:id="81"/>
    </w:p>
    <w:p w:rsidRPr="007E54DC" w:rsidR="00B82220" w:rsidP="0022760D" w:rsidRDefault="0022760D" w14:paraId="31E8FAA7" w14:textId="13709F50" w14:noSpellErr="1">
      <w:pPr>
        <w:pStyle w:val="Heading2"/>
        <w:rPr/>
      </w:pPr>
      <w:bookmarkStart w:name="_Toc121908136" w:id="82"/>
      <w:bookmarkStart w:name="_Toc121908424" w:id="83"/>
      <w:bookmarkStart w:name="_Toc801650972" w:id="1984726296"/>
      <w:r w:rsidR="0022760D">
        <w:rPr/>
        <w:t>*BPF fund contributes</w:t>
      </w:r>
      <w:r w:rsidR="0082611F">
        <w:rPr/>
        <w:t xml:space="preserve"> to</w:t>
      </w:r>
      <w:r w:rsidR="0022760D">
        <w:rPr/>
        <w:t>/invests in these programmes</w:t>
      </w:r>
      <w:bookmarkEnd w:id="82"/>
      <w:bookmarkEnd w:id="83"/>
      <w:bookmarkEnd w:id="1984726296"/>
    </w:p>
    <w:p w:rsidRPr="007E54DC" w:rsidR="2E9F3F1C" w:rsidP="0015573E" w:rsidRDefault="2E9F3F1C" w14:paraId="11B28A7F" w14:textId="25A5709D">
      <w:pPr>
        <w:spacing w:after="160" w:line="256" w:lineRule="auto"/>
        <w:ind w:right="141"/>
        <w:rPr>
          <w:rFonts w:ascii="Calibri" w:hAnsi="Calibri" w:eastAsia="Calibri" w:cs="Calibri"/>
          <w:color w:val="000000" w:themeColor="text1"/>
          <w:lang w:val="en-US"/>
        </w:rPr>
      </w:pPr>
      <w:r w:rsidRPr="007E54DC">
        <w:rPr>
          <w:rFonts w:ascii="Calibri" w:hAnsi="Calibri" w:eastAsia="Calibri" w:cs="Calibri"/>
          <w:color w:val="000000" w:themeColor="text1"/>
        </w:rPr>
        <w:t xml:space="preserve">While overlap in some key areas is likely, </w:t>
      </w:r>
      <w:r w:rsidRPr="007E54DC" w:rsidR="05D6199A">
        <w:rPr>
          <w:rFonts w:ascii="Calibri" w:hAnsi="Calibri" w:eastAsia="Calibri" w:cs="Calibri"/>
          <w:color w:val="000000" w:themeColor="text1"/>
        </w:rPr>
        <w:t>the BPF team will</w:t>
      </w:r>
      <w:r w:rsidRPr="007E54DC">
        <w:rPr>
          <w:rFonts w:ascii="Calibri" w:hAnsi="Calibri" w:eastAsia="Calibri" w:cs="Calibri"/>
          <w:color w:val="000000" w:themeColor="text1"/>
        </w:rPr>
        <w:t xml:space="preserve"> ensure activities and programming is complimentary rather than duplicative. Strengthening links between the programmes will therefore be valuable in terms of preventing duplication and enhancing impact. Opportunities to do this across the BPF, include:</w:t>
      </w:r>
    </w:p>
    <w:p w:rsidRPr="007E54DC" w:rsidR="2E9F3F1C" w:rsidP="0015573E" w:rsidRDefault="2E9F3F1C" w14:paraId="14580CBA" w14:textId="0182BBDE">
      <w:pPr>
        <w:pStyle w:val="ListParagraph"/>
        <w:numPr>
          <w:ilvl w:val="2"/>
          <w:numId w:val="3"/>
        </w:numPr>
        <w:spacing w:after="240"/>
        <w:rPr>
          <w:rFonts w:eastAsia="Calibri"/>
          <w:color w:val="000000" w:themeColor="text1"/>
          <w:lang w:val="en-US"/>
        </w:rPr>
      </w:pPr>
      <w:r w:rsidRPr="007E54DC">
        <w:rPr>
          <w:rFonts w:eastAsia="Calibri"/>
          <w:color w:val="000000" w:themeColor="text1"/>
        </w:rPr>
        <w:t>Holding country learning sessions with BPF partners to share best practice, lessons learnt and programme development opportunities.</w:t>
      </w:r>
    </w:p>
    <w:p w:rsidRPr="007E54DC" w:rsidR="2E9F3F1C" w:rsidP="0015573E" w:rsidRDefault="61DF2DE1" w14:paraId="230731E4" w14:textId="0856CFF3">
      <w:pPr>
        <w:pStyle w:val="ListParagraph"/>
        <w:numPr>
          <w:ilvl w:val="2"/>
          <w:numId w:val="3"/>
        </w:numPr>
        <w:spacing w:after="240"/>
        <w:rPr>
          <w:rFonts w:eastAsia="Calibri"/>
          <w:color w:val="000000" w:themeColor="text1"/>
          <w:lang w:val="en-US"/>
        </w:rPr>
      </w:pPr>
      <w:r w:rsidRPr="007E54DC">
        <w:rPr>
          <w:rFonts w:eastAsia="Calibri"/>
          <w:color w:val="000000" w:themeColor="text1"/>
        </w:rPr>
        <w:t>Actively joining up BPF technical visits to ensure time, money and resource is utilised effectively, in addition to enhancing delivery of technical assistance and results of scoping activities.  In cases where visits have already taken place, scoping results from one programme can be used to inform the other</w:t>
      </w:r>
      <w:r w:rsidRPr="007E54DC" w:rsidR="377988FF">
        <w:rPr>
          <w:rFonts w:eastAsia="Calibri"/>
          <w:color w:val="000000" w:themeColor="text1"/>
        </w:rPr>
        <w:t xml:space="preserve">. </w:t>
      </w:r>
      <w:r w:rsidRPr="007E54DC" w:rsidR="44294240">
        <w:rPr>
          <w:rFonts w:eastAsia="Calibri"/>
          <w:color w:val="000000" w:themeColor="text1"/>
        </w:rPr>
        <w:t xml:space="preserve">We are already doing this with </w:t>
      </w:r>
      <w:r w:rsidRPr="007E54DC" w:rsidR="266DA7B3">
        <w:rPr>
          <w:rFonts w:eastAsia="Calibri"/>
          <w:color w:val="000000" w:themeColor="text1"/>
        </w:rPr>
        <w:t>across</w:t>
      </w:r>
      <w:r w:rsidRPr="007E54DC" w:rsidR="4DF09428">
        <w:rPr>
          <w:rFonts w:eastAsia="Calibri"/>
          <w:color w:val="000000" w:themeColor="text1"/>
        </w:rPr>
        <w:t xml:space="preserve"> both </w:t>
      </w:r>
      <w:r w:rsidRPr="007E54DC" w:rsidR="266DA7B3">
        <w:rPr>
          <w:rFonts w:eastAsia="Calibri"/>
          <w:color w:val="000000" w:themeColor="text1"/>
        </w:rPr>
        <w:t xml:space="preserve"> </w:t>
      </w:r>
      <w:r w:rsidRPr="007E54DC" w:rsidR="44294240">
        <w:rPr>
          <w:rFonts w:eastAsia="Calibri"/>
          <w:color w:val="000000" w:themeColor="text1"/>
        </w:rPr>
        <w:t>Defra</w:t>
      </w:r>
      <w:r w:rsidRPr="007E54DC" w:rsidR="65EE99EA">
        <w:rPr>
          <w:rFonts w:eastAsia="Calibri"/>
          <w:color w:val="000000" w:themeColor="text1"/>
        </w:rPr>
        <w:t xml:space="preserve">’s Marine and Fisheries </w:t>
      </w:r>
      <w:r w:rsidRPr="007E54DC" w:rsidR="22512B4B">
        <w:rPr>
          <w:rFonts w:eastAsia="Calibri"/>
          <w:color w:val="000000" w:themeColor="text1"/>
        </w:rPr>
        <w:t>D</w:t>
      </w:r>
      <w:r w:rsidRPr="007E54DC" w:rsidR="65EE99EA">
        <w:rPr>
          <w:rFonts w:eastAsia="Calibri"/>
          <w:color w:val="000000" w:themeColor="text1"/>
        </w:rPr>
        <w:t xml:space="preserve">ivision </w:t>
      </w:r>
      <w:r w:rsidRPr="007E54DC" w:rsidR="44294240">
        <w:rPr>
          <w:rFonts w:eastAsia="Calibri"/>
          <w:color w:val="000000" w:themeColor="text1"/>
        </w:rPr>
        <w:t>Teams</w:t>
      </w:r>
      <w:r w:rsidRPr="007E54DC" w:rsidR="1AF27D65">
        <w:rPr>
          <w:rFonts w:eastAsia="Calibri"/>
          <w:color w:val="000000" w:themeColor="text1"/>
        </w:rPr>
        <w:t xml:space="preserve"> and </w:t>
      </w:r>
      <w:r w:rsidRPr="007E54DC" w:rsidR="44294240">
        <w:rPr>
          <w:rFonts w:eastAsia="Calibri"/>
          <w:color w:val="000000" w:themeColor="text1"/>
        </w:rPr>
        <w:t>Defra</w:t>
      </w:r>
      <w:r w:rsidRPr="007E54DC" w:rsidR="56FC60FE">
        <w:rPr>
          <w:rFonts w:eastAsia="Calibri"/>
          <w:color w:val="000000" w:themeColor="text1"/>
        </w:rPr>
        <w:t>’s</w:t>
      </w:r>
      <w:r w:rsidRPr="007E54DC" w:rsidR="44294240">
        <w:rPr>
          <w:rFonts w:eastAsia="Calibri"/>
          <w:color w:val="000000" w:themeColor="text1"/>
        </w:rPr>
        <w:t xml:space="preserve"> International Natur</w:t>
      </w:r>
      <w:r w:rsidRPr="007E54DC" w:rsidR="3E7B6ADD">
        <w:rPr>
          <w:rFonts w:eastAsia="Calibri"/>
          <w:color w:val="000000" w:themeColor="text1"/>
        </w:rPr>
        <w:t>e and Climate Division</w:t>
      </w:r>
      <w:r w:rsidRPr="007E54DC" w:rsidR="500E68F6">
        <w:rPr>
          <w:rFonts w:eastAsia="Calibri"/>
          <w:color w:val="000000" w:themeColor="text1"/>
        </w:rPr>
        <w:t>.</w:t>
      </w:r>
      <w:r w:rsidRPr="007E54DC" w:rsidR="3E7B6ADD">
        <w:rPr>
          <w:rFonts w:eastAsia="Calibri"/>
          <w:color w:val="000000" w:themeColor="text1"/>
        </w:rPr>
        <w:t xml:space="preserve"> </w:t>
      </w:r>
    </w:p>
    <w:p w:rsidRPr="007E54DC" w:rsidR="2E9F3F1C" w:rsidP="0015573E" w:rsidRDefault="2E9F3F1C" w14:paraId="101E5086" w14:textId="3760F29A">
      <w:pPr>
        <w:pStyle w:val="ListParagraph"/>
        <w:numPr>
          <w:ilvl w:val="2"/>
          <w:numId w:val="3"/>
        </w:numPr>
        <w:spacing w:after="240"/>
        <w:rPr>
          <w:rFonts w:eastAsia="Calibri"/>
          <w:color w:val="000000" w:themeColor="text1"/>
          <w:lang w:val="en-US"/>
        </w:rPr>
      </w:pPr>
      <w:r w:rsidRPr="007E54DC">
        <w:rPr>
          <w:rFonts w:eastAsia="Calibri"/>
          <w:color w:val="000000" w:themeColor="text1"/>
        </w:rPr>
        <w:t>Reporting on common indicators and KPIs where relevant to aggregate UK impact in country.</w:t>
      </w:r>
    </w:p>
    <w:p w:rsidRPr="007E54DC" w:rsidR="2E9F3F1C" w:rsidP="0015573E" w:rsidRDefault="2E9F3F1C" w14:paraId="5A690BD8" w14:textId="4F4F85F0">
      <w:pPr>
        <w:pStyle w:val="ListParagraph"/>
        <w:numPr>
          <w:ilvl w:val="2"/>
          <w:numId w:val="3"/>
        </w:numPr>
        <w:spacing w:after="240"/>
        <w:rPr>
          <w:rFonts w:eastAsia="Calibri"/>
          <w:color w:val="000000" w:themeColor="text1"/>
          <w:lang w:val="en-US"/>
        </w:rPr>
      </w:pPr>
      <w:r w:rsidRPr="007E54DC">
        <w:rPr>
          <w:rFonts w:eastAsia="Calibri"/>
          <w:color w:val="000000" w:themeColor="text1"/>
        </w:rPr>
        <w:t>Utilise the BPF comms strategy, which is currently being developed, to aid knowledge sharing with all key stakeholders, ensuring distinction and links between programmes are clear to recipient countries and delivery partners.</w:t>
      </w:r>
    </w:p>
    <w:p w:rsidRPr="007E54DC" w:rsidR="67D056F8" w:rsidP="67D056F8" w:rsidRDefault="67D056F8" w14:paraId="3E86F883" w14:textId="280E38C6">
      <w:pPr>
        <w:sectPr w:rsidRPr="007E54DC" w:rsidR="67D056F8" w:rsidSect="003C32FE">
          <w:pgSz w:w="11906" w:h="16838" w:orient="portrait"/>
          <w:pgMar w:top="1440" w:right="1440" w:bottom="1440" w:left="1440" w:header="709" w:footer="709" w:gutter="0"/>
          <w:pgNumType w:start="1"/>
          <w:cols w:space="708"/>
          <w:docGrid w:linePitch="360"/>
        </w:sectPr>
      </w:pPr>
    </w:p>
    <w:p w:rsidRPr="007E54DC" w:rsidR="002D4627" w:rsidP="0015573E" w:rsidRDefault="0015573E" w14:paraId="5153D6AB" w14:textId="5DA16799" w14:noSpellErr="1">
      <w:pPr>
        <w:pStyle w:val="Heading2"/>
        <w:rPr/>
      </w:pPr>
      <w:r w:rsidRPr="007E54DC">
        <w:rPr>
          <w:noProof/>
        </w:rPr>
        <mc:AlternateContent>
          <mc:Choice Requires="wps">
            <w:drawing>
              <wp:anchor distT="0" distB="0" distL="114300" distR="114300" simplePos="0" relativeHeight="251658242" behindDoc="0" locked="0" layoutInCell="1" allowOverlap="1" wp14:anchorId="141037BE" wp14:editId="7FF2A811">
                <wp:simplePos x="0" y="0"/>
                <wp:positionH relativeFrom="column">
                  <wp:posOffset>8890</wp:posOffset>
                </wp:positionH>
                <wp:positionV relativeFrom="paragraph">
                  <wp:posOffset>5303520</wp:posOffset>
                </wp:positionV>
                <wp:extent cx="902589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9025890" cy="635"/>
                        </a:xfrm>
                        <a:prstGeom prst="rect">
                          <a:avLst/>
                        </a:prstGeom>
                        <a:solidFill>
                          <a:prstClr val="white"/>
                        </a:solidFill>
                        <a:ln>
                          <a:noFill/>
                        </a:ln>
                      </wps:spPr>
                      <wps:txbx>
                        <w:txbxContent>
                          <w:p w:rsidRPr="0083756B" w:rsidR="0015573E" w:rsidP="0015573E" w:rsidRDefault="0015573E" w14:paraId="73F8DEE2" w14:textId="257C13C8">
                            <w:pPr>
                              <w:pStyle w:val="Caption"/>
                              <w:rPr>
                                <w:rFonts w:eastAsia="Times New Roman" w:cstheme="minorHAnsi"/>
                                <w:b/>
                                <w:bCs/>
                                <w:noProof/>
                                <w:color w:val="auto"/>
                                <w:szCs w:val="20"/>
                              </w:rPr>
                            </w:pPr>
                            <w:r>
                              <w:t xml:space="preserve">Figure </w:t>
                            </w:r>
                            <w:r>
                              <w:fldChar w:fldCharType="begin"/>
                            </w:r>
                            <w:r>
                              <w:instrText>SEQ Figure \* ARABIC</w:instrText>
                            </w:r>
                            <w:r>
                              <w:fldChar w:fldCharType="separate"/>
                            </w:r>
                            <w:r w:rsidR="00B9356F">
                              <w:rPr>
                                <w:noProof/>
                              </w:rPr>
                              <w:t>4</w:t>
                            </w:r>
                            <w:r>
                              <w:fldChar w:fldCharType="end"/>
                            </w:r>
                            <w:r w:rsidRPr="00A86F2B">
                              <w:rPr>
                                <w:noProof/>
                              </w:rPr>
                              <w:t>– BPF Programming under the MPA and OECM outcome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D40C1F2">
              <v:shapetype id="_x0000_t202" coordsize="21600,21600" o:spt="202" path="m,l,21600r21600,l21600,xe" w14:anchorId="141037BE">
                <v:stroke joinstyle="miter"/>
                <v:path gradientshapeok="t" o:connecttype="rect"/>
              </v:shapetype>
              <v:shape id="Text Box 4" style="position:absolute;left:0;text-align:left;margin-left:.7pt;margin-top:417.6pt;width:710.7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">
                <v:textbox style="mso-fit-shape-to-text:t" inset="0,0,0,0">
                  <w:txbxContent>
                    <w:p w:rsidRPr="0083756B" w:rsidR="0015573E" w:rsidP="0015573E" w:rsidRDefault="0015573E" w14:paraId="01E39919" w14:textId="257C13C8">
                      <w:pPr>
                        <w:pStyle w:val="Caption"/>
                        <w:rPr>
                          <w:rFonts w:eastAsia="Times New Roman" w:cstheme="minorHAnsi"/>
                          <w:b/>
                          <w:bCs/>
                          <w:noProof/>
                          <w:color w:val="auto"/>
                          <w:szCs w:val="20"/>
                        </w:rPr>
                      </w:pPr>
                      <w:r>
                        <w:t xml:space="preserve">Figure </w:t>
                      </w:r>
                      <w:r>
                        <w:fldChar w:fldCharType="begin"/>
                      </w:r>
                      <w:r>
                        <w:instrText>SEQ Figure \* ARABIC</w:instrText>
                      </w:r>
                      <w:r>
                        <w:fldChar w:fldCharType="separate"/>
                      </w:r>
                      <w:r w:rsidR="00B9356F">
                        <w:rPr>
                          <w:noProof/>
                        </w:rPr>
                        <w:t>4</w:t>
                      </w:r>
                      <w:r>
                        <w:fldChar w:fldCharType="end"/>
                      </w:r>
                      <w:r w:rsidRPr="00A86F2B">
                        <w:rPr>
                          <w:noProof/>
                        </w:rPr>
                        <w:t>– BPF Programming under the MPA and OECM outcome</w:t>
                      </w:r>
                    </w:p>
                  </w:txbxContent>
                </v:textbox>
                <w10:wrap type="topAndBottom"/>
              </v:shape>
            </w:pict>
          </mc:Fallback>
        </mc:AlternateContent>
      </w:r>
      <w:r w:rsidRPr="007E54DC" w:rsidR="00B40D80">
        <w:rPr>
          <w:noProof/>
        </w:rPr>
        <w:drawing>
          <wp:anchor distT="0" distB="0" distL="114300" distR="114300" simplePos="0" relativeHeight="251658241" behindDoc="0" locked="0" layoutInCell="1" allowOverlap="1" wp14:anchorId="710FC577" wp14:editId="08E8CEC6">
            <wp:simplePos x="0" y="0"/>
            <wp:positionH relativeFrom="page">
              <wp:posOffset>923290</wp:posOffset>
            </wp:positionH>
            <wp:positionV relativeFrom="paragraph">
              <wp:posOffset>613410</wp:posOffset>
            </wp:positionV>
            <wp:extent cx="9026047" cy="5114925"/>
            <wp:effectExtent l="0" t="0" r="3810" b="0"/>
            <wp:wrapTopAndBottom/>
            <wp:docPr id="545583052" name="Picture 54558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026047" cy="5114925"/>
                    </a:xfrm>
                    <a:prstGeom prst="rect">
                      <a:avLst/>
                    </a:prstGeom>
                  </pic:spPr>
                </pic:pic>
              </a:graphicData>
            </a:graphic>
            <wp14:sizeRelH relativeFrom="margin">
              <wp14:pctWidth>0</wp14:pctWidth>
            </wp14:sizeRelH>
            <wp14:sizeRelV relativeFrom="margin">
              <wp14:pctHeight>0</wp14:pctHeight>
            </wp14:sizeRelV>
          </wp:anchor>
        </w:drawing>
      </w:r>
      <w:bookmarkStart w:name="_Toc121907672" w:id="86"/>
      <w:r w:rsidRPr="6EF7DA90" w:rsidR="0015573E">
        <w:rPr>
          <w:rFonts w:ascii="Calibri" w:hAnsi="Calibri" w:cs="Calibri"/>
          <w:b w:val="0"/>
          <w:bCs w:val="0"/>
          <w:color w:val="000000"/>
          <w:shd w:val="clear" w:color="auto" w:fill="FFFFFF"/>
        </w:rPr>
        <w:t xml:space="preserve"> </w:t>
      </w:r>
      <w:bookmarkStart w:name="_Toc932926940" w:id="682463699"/>
      <w:r w:rsidRPr="6EF7DA90" w:rsidR="0015573E">
        <w:rPr>
          <w:rFonts w:ascii="Calibri" w:hAnsi="Calibri" w:cs="Calibri"/>
          <w:b w:val="0"/>
          <w:bCs w:val="0"/>
          <w:color w:val="000000"/>
          <w:shd w:val="clear" w:color="auto" w:fill="FFFFFF"/>
        </w:rPr>
        <w:t xml:space="preserve">A</w:t>
      </w:r>
      <w:r w:rsidRPr="6EF7DA90" w:rsidR="0015573E">
        <w:rPr>
          <w:rStyle w:val="normaltextrun"/>
          <w:rFonts w:ascii="Calibri" w:hAnsi="Calibri" w:cs="Calibri"/>
          <w:b w:val="0"/>
          <w:bCs w:val="0"/>
          <w:color w:val="000000"/>
          <w:shd w:val="clear" w:color="auto" w:fill="FFFFFF"/>
        </w:rPr>
        <w:t>nnex C</w:t>
      </w:r>
      <w:r w:rsidRPr="6EF7DA90" w:rsidR="0015573E">
        <w:rPr>
          <w:rStyle w:val="normaltextrun"/>
          <w:rFonts w:ascii="Calibri" w:hAnsi="Calibri" w:cs="Calibri"/>
          <w:color w:val="000000"/>
          <w:shd w:val="clear" w:color="auto" w:fill="FFFFFF"/>
        </w:rPr>
        <w:t>– BPF Programming under the MPA and OECM outcome</w:t>
      </w:r>
      <w:bookmarkEnd w:id="682463699"/>
      <w:r w:rsidRPr="6EF7DA90" w:rsidR="0015573E">
        <w:rPr>
          <w:rStyle w:val="eop"/>
          <w:rFonts w:ascii="Calibri" w:hAnsi="Calibri" w:cs="Calibri"/>
          <w:color w:val="000000"/>
          <w:shd w:val="clear" w:color="auto" w:fill="FFFFFF"/>
        </w:rPr>
        <w:t> </w:t>
      </w:r>
      <w:bookmarkEnd w:id="86"/>
    </w:p>
    <w:p w:rsidRPr="007E54DC" w:rsidR="002D4627" w:rsidP="002D4627" w:rsidRDefault="002D4627" w14:paraId="1A9BEB64" w14:textId="77777777"/>
    <w:p w:rsidRPr="007E54DC" w:rsidR="006E055F" w:rsidP="0022760D" w:rsidRDefault="4F36F43A" w14:paraId="046C7A6C" w14:textId="700B36DA" w14:noSpellErr="1">
      <w:pPr>
        <w:pStyle w:val="Heading2"/>
        <w:rPr/>
      </w:pPr>
      <w:bookmarkStart w:name="_Toc1189878452" w:id="129809364"/>
      <w:r w:rsidR="4F36F43A">
        <w:rPr/>
        <w:t xml:space="preserve">Annex </w:t>
      </w:r>
      <w:r w:rsidR="00322EB0">
        <w:rPr/>
        <w:t>D</w:t>
      </w:r>
      <w:r w:rsidR="00937D38">
        <w:rPr/>
        <w:t xml:space="preserve"> </w:t>
      </w:r>
      <w:r w:rsidR="004F54D8">
        <w:rPr/>
        <w:t>–</w:t>
      </w:r>
      <w:r w:rsidR="00937D38">
        <w:rPr/>
        <w:t xml:space="preserve"> </w:t>
      </w:r>
      <w:r w:rsidR="004F54D8">
        <w:rPr/>
        <w:t>GFCR Year 1 Annual Review</w:t>
      </w:r>
      <w:bookmarkEnd w:id="129809364"/>
      <w:r w:rsidR="004F54D8">
        <w:rPr/>
        <w:t xml:space="preserve"> </w:t>
      </w:r>
      <w:bookmarkEnd w:id="73"/>
    </w:p>
    <w:p w:rsidRPr="007E54DC" w:rsidR="002E2C79" w:rsidP="002E2C79" w:rsidRDefault="004F54D8" w14:paraId="515CB83C" w14:textId="77777777">
      <w:r w:rsidRPr="007E54DC">
        <w:t xml:space="preserve">The Annual Review provides a performance assessment for Year 1 one the GFCR. The review provides a comprehensive review of output indicators and targets, in addition to </w:t>
      </w:r>
      <w:r w:rsidRPr="007E54DC" w:rsidR="00573BF1">
        <w:t>discussing</w:t>
      </w:r>
      <w:r w:rsidRPr="007E54DC">
        <w:t xml:space="preserve"> key lessons learnt and recommendations for future projects and development moving forward. </w:t>
      </w:r>
      <w:bookmarkStart w:name="_Toc121907984" w:id="88"/>
      <w:bookmarkStart w:name="_Toc121908139" w:id="89"/>
    </w:p>
    <w:bookmarkEnd w:id="88"/>
    <w:bookmarkEnd w:id="89"/>
    <w:p w:rsidRPr="007E54DC" w:rsidR="007C1543" w:rsidP="00D061F7" w:rsidRDefault="002E2C79" w14:paraId="56A0DE79" w14:textId="36B6DB4C">
      <w:r w:rsidRPr="007E54DC">
        <w:t>Link:</w:t>
      </w:r>
      <w:r w:rsidRPr="007E54DC" w:rsidR="004F54D8">
        <w:t xml:space="preserve">  </w:t>
      </w:r>
      <w:hyperlink w:history="1" r:id="rId26">
        <w:r w:rsidRPr="007E54DC" w:rsidR="00573BF1">
          <w:rPr>
            <w:rStyle w:val="Hyperlink"/>
          </w:rPr>
          <w:t>FINAL GFCR Y1 Annual Review.docx (sharepoint.com)</w:t>
        </w:r>
      </w:hyperlink>
    </w:p>
    <w:p w:rsidRPr="007E54DC" w:rsidR="00D9527C" w:rsidP="1EB9765C" w:rsidRDefault="002E2C79" w14:paraId="3D69A045" w14:textId="34FF8CD4" w14:noSpellErr="1">
      <w:pPr>
        <w:spacing w:line="254" w:lineRule="auto"/>
        <w:rPr/>
      </w:pPr>
      <w:bookmarkStart w:name="_Toc1935995492" w:id="1212835961"/>
      <w:r w:rsidRPr="6EF7DA90" w:rsidR="002E2C79">
        <w:rPr>
          <w:rStyle w:val="Heading2Char"/>
          <w:rFonts w:eastAsia="游明朝" w:eastAsiaTheme="minorEastAsia"/>
          <w:b w:val="0"/>
          <w:bCs w:val="0"/>
        </w:rPr>
        <w:t>Annex E</w:t>
      </w:r>
      <w:r w:rsidRPr="6EF7DA90" w:rsidR="002E2C79">
        <w:rPr>
          <w:rStyle w:val="Heading2Char"/>
          <w:rFonts w:eastAsia="游明朝" w:eastAsiaTheme="minorEastAsia"/>
        </w:rPr>
        <w:t xml:space="preserve"> – Economic case:</w:t>
      </w:r>
      <w:bookmarkEnd w:id="1212835961"/>
      <w:r w:rsidR="002E2C79">
        <w:rPr/>
        <w:t xml:space="preserve"> </w:t>
      </w:r>
      <w:hyperlink r:id="Rfa18ddfbc2fa4957">
        <w:r w:rsidRPr="6EF7DA90" w:rsidR="002E2C79">
          <w:rPr>
            <w:rStyle w:val="Hyperlink"/>
            <w:rFonts w:ascii="Calibri" w:hAnsi="Calibri" w:eastAsia="Calibri" w:cs="Calibri"/>
          </w:rPr>
          <w:t>GFCR Jul 22 Economic Case Annex.docx (sharepoint.com) Internal link</w:t>
        </w:r>
      </w:hyperlink>
      <w:r w:rsidRPr="6EF7DA90" w:rsidR="00814E23">
        <w:rPr>
          <w:rStyle w:val="Hyperlink"/>
          <w:rFonts w:ascii="Calibri" w:hAnsi="Calibri" w:eastAsia="Calibri" w:cs="Calibri"/>
        </w:rPr>
        <w:t xml:space="preserve">    </w:t>
      </w:r>
    </w:p>
    <w:p w:rsidRPr="007E54DC" w:rsidR="0317CB48" w:rsidP="0015573E" w:rsidRDefault="0317CB48" w14:paraId="7657ECC2" w14:textId="67C01DDE" w14:noSpellErr="1">
      <w:pPr>
        <w:pStyle w:val="Heading2"/>
        <w:rPr>
          <w:rStyle w:val="Blocktextsuperscript"/>
        </w:rPr>
      </w:pPr>
      <w:bookmarkStart w:name="_Toc2062386307" w:id="268038267"/>
      <w:r w:rsidRPr="6EF7DA90" w:rsidR="0317CB48">
        <w:rPr>
          <w:rStyle w:val="Blocktextsuperscript"/>
        </w:rPr>
        <w:t xml:space="preserve">Annex F - </w:t>
      </w:r>
      <w:r w:rsidRPr="6EF7DA90" w:rsidR="5E0BCBAF">
        <w:rPr>
          <w:rStyle w:val="Blocktextsuperscript"/>
        </w:rPr>
        <w:t>An Overview of BCRs across the Blue Planet Fund.</w:t>
      </w:r>
      <w:bookmarkEnd w:id="268038267"/>
    </w:p>
    <w:p w:rsidRPr="007E54DC" w:rsidR="0317CB48" w:rsidP="71758930" w:rsidRDefault="0094206F" w14:paraId="77627B5D" w14:textId="02C652E4">
      <w:pPr>
        <w:spacing w:line="254" w:lineRule="auto"/>
        <w:rPr>
          <w:rFonts w:eastAsiaTheme="minorEastAsia"/>
        </w:rPr>
      </w:pPr>
      <w:r w:rsidRPr="007E54DC">
        <w:rPr>
          <w:rFonts w:eastAsiaTheme="minorEastAsia"/>
        </w:rPr>
        <w:t xml:space="preserve">The table below sets out the overview of the BCRs and ranges across the Blue Planet Fund. </w:t>
      </w:r>
      <w:r w:rsidRPr="007E54DC" w:rsidR="624B009D">
        <w:rPr>
          <w:rFonts w:eastAsiaTheme="minorEastAsia"/>
        </w:rPr>
        <w:t xml:space="preserve">The mean BCR estimate of 4.1 for the GFCR represents around the mid-range of some of the BCRs we are anticipating from other programmes in the BPF. </w:t>
      </w:r>
    </w:p>
    <w:p w:rsidRPr="007E54DC" w:rsidR="0317CB48" w:rsidP="71758930" w:rsidRDefault="0B4EC035" w14:paraId="1C1D6831" w14:textId="67C01DDE">
      <w:pPr>
        <w:spacing w:line="254" w:lineRule="auto"/>
        <w:rPr>
          <w:rFonts w:eastAsiaTheme="minorEastAsia"/>
          <w:u w:val="single"/>
        </w:rPr>
      </w:pPr>
      <w:r w:rsidRPr="007E54DC">
        <w:rPr>
          <w:rFonts w:eastAsiaTheme="minorEastAsia"/>
        </w:rPr>
        <w:t xml:space="preserve">However, it should be clear that ensuring value for money from the Blue Planet Fund rests upon more than the BCRs. The BPF is an ODA-funded portfolio of programmes for the conservation and protection of the ocean and alleviation of poverty. It acts on these twin aims through selecting projects which strategically fit across the thematic areas and evidenced priorities. </w:t>
      </w:r>
    </w:p>
    <w:p w:rsidRPr="007E54DC" w:rsidR="0015573E" w:rsidRDefault="0317CB48" w14:paraId="2D83C010" w14:textId="6E05FB8B">
      <w:pPr>
        <w:rPr>
          <w:rFonts w:eastAsiaTheme="minorEastAsia"/>
          <w:u w:val="single"/>
        </w:rPr>
      </w:pPr>
      <w:r w:rsidRPr="007E54DC">
        <w:rPr>
          <w:rFonts w:eastAsiaTheme="minorEastAsia"/>
        </w:rPr>
        <w:t xml:space="preserve">For appraising the short-listed options, an economic appraisal including assessment on BCR and NPV is provided to test </w:t>
      </w:r>
      <w:proofErr w:type="spellStart"/>
      <w:r w:rsidRPr="007E54DC">
        <w:rPr>
          <w:rFonts w:eastAsiaTheme="minorEastAsia"/>
        </w:rPr>
        <w:t>VfM</w:t>
      </w:r>
      <w:proofErr w:type="spellEnd"/>
      <w:r w:rsidRPr="007E54DC">
        <w:rPr>
          <w:rFonts w:eastAsiaTheme="minorEastAsia"/>
        </w:rPr>
        <w:t xml:space="preserve">. This is based on the best available </w:t>
      </w:r>
      <w:proofErr w:type="gramStart"/>
      <w:r w:rsidRPr="007E54DC">
        <w:rPr>
          <w:rFonts w:eastAsiaTheme="minorEastAsia"/>
        </w:rPr>
        <w:t>evidence,</w:t>
      </w:r>
      <w:proofErr w:type="gramEnd"/>
      <w:r w:rsidRPr="007E54DC">
        <w:rPr>
          <w:rFonts w:eastAsiaTheme="minorEastAsia"/>
        </w:rPr>
        <w:t xml:space="preserve"> however this is often limited, in particular given BPF programmes often invest in programmes where the exact portfolio is unclear at the fund level investment decision stage.</w:t>
      </w:r>
      <w:r w:rsidRPr="007E54DC">
        <w:rPr>
          <w:rFonts w:eastAsiaTheme="minorEastAsia"/>
          <w:strike/>
        </w:rPr>
        <w:t xml:space="preserve"> </w:t>
      </w:r>
      <w:r w:rsidRPr="007E54DC">
        <w:rPr>
          <w:rFonts w:eastAsiaTheme="minorEastAsia"/>
        </w:rPr>
        <w:t xml:space="preserve">As such the appraisal is often based on an illustrative portfolio, and with transparency of the evidence gaps (particularly </w:t>
      </w:r>
      <w:proofErr w:type="spellStart"/>
      <w:r w:rsidRPr="007E54DC">
        <w:rPr>
          <w:rFonts w:eastAsiaTheme="minorEastAsia"/>
        </w:rPr>
        <w:t>monetisable</w:t>
      </w:r>
      <w:proofErr w:type="spellEnd"/>
      <w:r w:rsidRPr="007E54DC">
        <w:rPr>
          <w:rFonts w:eastAsiaTheme="minorEastAsia"/>
        </w:rPr>
        <w:t xml:space="preserve"> benefits).The quantitative analysis will often have significant uncertainties due to a long causal chain of benefits to be realised (for example in the case of capacity building programmes), weak context-specific evidence, uncertainty in the exact composition of investments/ future pipeline, which country or region will be invested in. As such the quantitative analysis is provided only as a guide to what might be achieved by the project and to test </w:t>
      </w:r>
      <w:proofErr w:type="spellStart"/>
      <w:r w:rsidRPr="007E54DC">
        <w:rPr>
          <w:rFonts w:eastAsiaTheme="minorEastAsia"/>
        </w:rPr>
        <w:t>VfM</w:t>
      </w:r>
      <w:proofErr w:type="spellEnd"/>
      <w:r w:rsidRPr="007E54DC">
        <w:rPr>
          <w:rFonts w:eastAsiaTheme="minorEastAsia"/>
        </w:rPr>
        <w:t xml:space="preserve">, rather than a refined analysis to forecast and choose between options. This approach is what we have used for previous BPF business cases approved by the </w:t>
      </w:r>
      <w:proofErr w:type="gramStart"/>
      <w:r w:rsidRPr="007E54DC">
        <w:rPr>
          <w:rFonts w:eastAsiaTheme="minorEastAsia"/>
        </w:rPr>
        <w:t>Red</w:t>
      </w:r>
      <w:proofErr w:type="gramEnd"/>
      <w:r w:rsidRPr="007E54DC">
        <w:rPr>
          <w:rFonts w:eastAsiaTheme="minorEastAsia"/>
        </w:rPr>
        <w:t xml:space="preserve"> team and Investment committee.</w:t>
      </w:r>
      <w:r w:rsidRPr="007E54DC">
        <w:rPr>
          <w:rFonts w:eastAsiaTheme="minorEastAsia"/>
          <w:u w:val="single"/>
        </w:rPr>
        <w:t xml:space="preserve"> </w:t>
      </w:r>
      <w:r w:rsidRPr="007E54DC" w:rsidR="0015573E">
        <w:rPr>
          <w:rFonts w:eastAsiaTheme="minorEastAsia"/>
          <w:u w:val="single"/>
        </w:rPr>
        <w:t xml:space="preserve"> </w:t>
      </w:r>
    </w:p>
    <w:p w:rsidRPr="007E54DC" w:rsidR="0317CB48" w:rsidP="0015573E" w:rsidRDefault="0317CB48" w14:paraId="4357E12E" w14:textId="34FF8CD4">
      <w:pPr>
        <w:spacing w:line="254" w:lineRule="auto"/>
        <w:rPr>
          <w:rFonts w:ascii="Calibri" w:hAnsi="Calibri" w:eastAsia="Calibri" w:cs="Calibri"/>
          <w:color w:val="0070C0"/>
        </w:rPr>
      </w:pPr>
      <w:r w:rsidRPr="007E54DC">
        <w:rPr>
          <w:rFonts w:ascii="Calibri" w:hAnsi="Calibri" w:eastAsia="Calibri" w:cs="Calibri"/>
          <w:color w:val="0070C0"/>
        </w:rPr>
        <w:t xml:space="preserve"> </w:t>
      </w:r>
    </w:p>
    <w:tbl>
      <w:tblPr>
        <w:tblStyle w:val="TableGrid"/>
        <w:tblW w:w="0" w:type="auto"/>
        <w:jc w:val="center"/>
        <w:tblLayout w:type="fixed"/>
        <w:tblLook w:val="04A0" w:firstRow="1" w:lastRow="0" w:firstColumn="1" w:lastColumn="0" w:noHBand="0" w:noVBand="1"/>
      </w:tblPr>
      <w:tblGrid>
        <w:gridCol w:w="1695"/>
        <w:gridCol w:w="3120"/>
        <w:gridCol w:w="3120"/>
        <w:gridCol w:w="3255"/>
      </w:tblGrid>
      <w:tr w:rsidRPr="007E54DC" w:rsidR="4CB54EA0" w:rsidTr="71758930" w14:paraId="209FC38E"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DF85520" w14:textId="2E3E3EB5">
            <w:pPr>
              <w:spacing w:line="254" w:lineRule="auto"/>
              <w:rPr>
                <w:rFonts w:ascii="Arial" w:hAnsi="Arial" w:eastAsia="Arial" w:cs="Arial"/>
                <w:b/>
                <w:bCs/>
                <w:sz w:val="18"/>
                <w:szCs w:val="18"/>
              </w:rPr>
            </w:pPr>
            <w:r w:rsidRPr="007E54DC">
              <w:rPr>
                <w:rFonts w:ascii="Arial" w:hAnsi="Arial" w:eastAsia="Arial" w:cs="Arial"/>
                <w:b/>
                <w:bCs/>
                <w:sz w:val="18"/>
                <w:szCs w:val="18"/>
              </w:rPr>
              <w:t>Programme / Project</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537D27F0" w14:textId="0DAA7515">
            <w:pPr>
              <w:spacing w:line="254" w:lineRule="auto"/>
              <w:rPr>
                <w:rFonts w:ascii="Arial" w:hAnsi="Arial" w:eastAsia="Arial" w:cs="Arial"/>
                <w:b/>
                <w:bCs/>
                <w:sz w:val="18"/>
                <w:szCs w:val="18"/>
              </w:rPr>
            </w:pPr>
            <w:r w:rsidRPr="007E54DC">
              <w:rPr>
                <w:rFonts w:ascii="Arial" w:hAnsi="Arial" w:eastAsia="Arial" w:cs="Arial"/>
                <w:b/>
                <w:bCs/>
                <w:sz w:val="18"/>
                <w:szCs w:val="18"/>
              </w:rPr>
              <w:t>Total funding and number of years</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844285B" w14:textId="722C1910">
            <w:pPr>
              <w:spacing w:line="254" w:lineRule="auto"/>
              <w:rPr>
                <w:rFonts w:ascii="Arial" w:hAnsi="Arial" w:eastAsia="Arial" w:cs="Arial"/>
                <w:b/>
                <w:bCs/>
                <w:sz w:val="18"/>
                <w:szCs w:val="18"/>
              </w:rPr>
            </w:pPr>
            <w:r w:rsidRPr="007E54DC">
              <w:rPr>
                <w:rFonts w:ascii="Arial" w:hAnsi="Arial" w:eastAsia="Arial" w:cs="Arial"/>
                <w:b/>
                <w:bCs/>
                <w:sz w:val="18"/>
                <w:szCs w:val="18"/>
              </w:rPr>
              <w:t>BC BCR (central and range)</w:t>
            </w:r>
          </w:p>
          <w:p w:rsidRPr="007E54DC" w:rsidR="4CB54EA0" w:rsidP="0015573E" w:rsidRDefault="4CB54EA0" w14:paraId="49747371" w14:textId="2C711924">
            <w:pPr>
              <w:spacing w:line="254" w:lineRule="auto"/>
              <w:rPr>
                <w:rFonts w:ascii="Arial" w:hAnsi="Arial" w:eastAsia="Arial" w:cs="Arial"/>
                <w:b/>
                <w:bCs/>
                <w:sz w:val="18"/>
                <w:szCs w:val="18"/>
              </w:rPr>
            </w:pPr>
            <w:r w:rsidRPr="007E54DC">
              <w:rPr>
                <w:rFonts w:ascii="Arial" w:hAnsi="Arial" w:eastAsia="Arial" w:cs="Arial"/>
                <w:b/>
                <w:bCs/>
                <w:sz w:val="18"/>
                <w:szCs w:val="18"/>
              </w:rPr>
              <w:t xml:space="preserve"> </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0015573E" w14:paraId="545FC32C" w14:textId="25E3AC48">
            <w:pPr>
              <w:spacing w:line="254" w:lineRule="auto"/>
              <w:rPr>
                <w:rFonts w:ascii="Arial" w:hAnsi="Arial" w:eastAsia="Arial" w:cs="Arial"/>
                <w:sz w:val="18"/>
                <w:szCs w:val="18"/>
              </w:rPr>
            </w:pPr>
            <w:r w:rsidRPr="007E54DC">
              <w:rPr>
                <w:rFonts w:ascii="Arial" w:hAnsi="Arial" w:eastAsia="Arial" w:cs="Arial"/>
                <w:sz w:val="18"/>
                <w:szCs w:val="18"/>
              </w:rPr>
              <w:t>C</w:t>
            </w:r>
            <w:r w:rsidRPr="007E54DC" w:rsidR="4CB54EA0">
              <w:rPr>
                <w:rFonts w:ascii="Arial" w:hAnsi="Arial" w:eastAsia="Arial" w:cs="Arial"/>
                <w:sz w:val="18"/>
                <w:szCs w:val="18"/>
              </w:rPr>
              <w:t>omments</w:t>
            </w:r>
          </w:p>
        </w:tc>
      </w:tr>
      <w:tr w:rsidRPr="007E54DC" w:rsidR="4CB54EA0" w:rsidTr="71758930" w14:paraId="1FDE022F"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86794DA" w14:textId="6266F8AA">
            <w:pPr>
              <w:spacing w:line="254" w:lineRule="auto"/>
              <w:rPr>
                <w:rFonts w:ascii="Arial" w:hAnsi="Arial" w:eastAsia="Arial" w:cs="Arial"/>
                <w:sz w:val="18"/>
                <w:szCs w:val="18"/>
              </w:rPr>
            </w:pPr>
            <w:r w:rsidRPr="007E54DC">
              <w:rPr>
                <w:rFonts w:ascii="Arial" w:hAnsi="Arial" w:eastAsia="Arial" w:cs="Arial"/>
                <w:sz w:val="18"/>
                <w:szCs w:val="18"/>
              </w:rPr>
              <w:t>GOAP year 1</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FE22C0B" w14:textId="5BCC971A">
            <w:pPr>
              <w:spacing w:line="254" w:lineRule="auto"/>
              <w:rPr>
                <w:rFonts w:ascii="Arial" w:hAnsi="Arial" w:eastAsia="Arial" w:cs="Arial"/>
                <w:sz w:val="18"/>
                <w:szCs w:val="18"/>
              </w:rPr>
            </w:pPr>
            <w:r w:rsidRPr="007E54DC">
              <w:rPr>
                <w:rFonts w:ascii="Arial" w:hAnsi="Arial" w:eastAsia="Arial" w:cs="Arial"/>
                <w:sz w:val="18"/>
                <w:szCs w:val="18"/>
              </w:rPr>
              <w:t>£1m for 1 year</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A9DA0CF" w14:textId="0E7F5D61">
            <w:pPr>
              <w:spacing w:line="254" w:lineRule="auto"/>
              <w:rPr>
                <w:rFonts w:ascii="Arial" w:hAnsi="Arial" w:eastAsia="Arial" w:cs="Arial"/>
                <w:b/>
                <w:bCs/>
                <w:sz w:val="18"/>
                <w:szCs w:val="18"/>
              </w:rPr>
            </w:pPr>
            <w:r w:rsidRPr="007E54DC">
              <w:rPr>
                <w:rFonts w:ascii="Arial" w:hAnsi="Arial" w:eastAsia="Arial" w:cs="Arial"/>
                <w:b/>
                <w:bCs/>
                <w:sz w:val="18"/>
                <w:szCs w:val="18"/>
              </w:rPr>
              <w:t>4.48</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AA6775A" w14:textId="76F350CF">
            <w:pPr>
              <w:spacing w:line="254" w:lineRule="auto"/>
              <w:rPr>
                <w:rFonts w:ascii="Arial" w:hAnsi="Arial" w:eastAsia="Arial" w:cs="Arial"/>
                <w:sz w:val="18"/>
                <w:szCs w:val="18"/>
              </w:rPr>
            </w:pPr>
            <w:r w:rsidRPr="007E54DC">
              <w:rPr>
                <w:rFonts w:ascii="Arial" w:hAnsi="Arial" w:eastAsia="Arial" w:cs="Arial"/>
                <w:sz w:val="18"/>
                <w:szCs w:val="18"/>
              </w:rPr>
              <w:t>No range given</w:t>
            </w:r>
          </w:p>
        </w:tc>
      </w:tr>
      <w:tr w:rsidRPr="007E54DC" w:rsidR="4CB54EA0" w:rsidTr="71758930" w14:paraId="17001625"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F8D2B1C" w14:textId="28B7A14D">
            <w:pPr>
              <w:spacing w:line="254" w:lineRule="auto"/>
              <w:rPr>
                <w:rFonts w:ascii="Arial" w:hAnsi="Arial" w:eastAsia="Arial" w:cs="Arial"/>
                <w:sz w:val="18"/>
                <w:szCs w:val="18"/>
              </w:rPr>
            </w:pPr>
            <w:r w:rsidRPr="007E54DC">
              <w:rPr>
                <w:rFonts w:ascii="Arial" w:hAnsi="Arial" w:eastAsia="Arial" w:cs="Arial"/>
                <w:sz w:val="18"/>
                <w:szCs w:val="18"/>
              </w:rPr>
              <w:t>GOAP year 2 - 4</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C15A239" w14:textId="76F6C361">
            <w:pPr>
              <w:spacing w:line="254" w:lineRule="auto"/>
              <w:rPr>
                <w:rFonts w:ascii="Arial" w:hAnsi="Arial" w:eastAsia="Arial" w:cs="Arial"/>
                <w:sz w:val="18"/>
                <w:szCs w:val="18"/>
              </w:rPr>
            </w:pPr>
            <w:r w:rsidRPr="007E54DC">
              <w:rPr>
                <w:rFonts w:ascii="Arial" w:hAnsi="Arial" w:eastAsia="Arial" w:cs="Arial"/>
                <w:sz w:val="18"/>
                <w:szCs w:val="18"/>
              </w:rPr>
              <w:t xml:space="preserve">£6m over 4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0AFAD6E" w14:textId="231749EE">
            <w:pPr>
              <w:spacing w:line="254" w:lineRule="auto"/>
              <w:rPr>
                <w:rFonts w:ascii="Arial" w:hAnsi="Arial" w:eastAsia="Arial" w:cs="Arial"/>
                <w:b/>
                <w:bCs/>
                <w:sz w:val="18"/>
                <w:szCs w:val="18"/>
              </w:rPr>
            </w:pPr>
            <w:r w:rsidRPr="007E54DC">
              <w:rPr>
                <w:rFonts w:ascii="Arial" w:hAnsi="Arial" w:eastAsia="Arial" w:cs="Arial"/>
                <w:b/>
                <w:bCs/>
                <w:sz w:val="18"/>
                <w:szCs w:val="18"/>
              </w:rPr>
              <w:t>2.4</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A6E5073" w14:textId="668A90E4">
            <w:pPr>
              <w:spacing w:line="254" w:lineRule="auto"/>
              <w:rPr>
                <w:rFonts w:ascii="Arial" w:hAnsi="Arial" w:eastAsia="Arial" w:cs="Arial"/>
                <w:sz w:val="18"/>
                <w:szCs w:val="18"/>
              </w:rPr>
            </w:pPr>
            <w:r w:rsidRPr="007E54DC">
              <w:rPr>
                <w:rFonts w:ascii="Arial" w:hAnsi="Arial" w:eastAsia="Arial" w:cs="Arial"/>
                <w:sz w:val="18"/>
                <w:szCs w:val="18"/>
              </w:rPr>
              <w:t>No range given</w:t>
            </w:r>
          </w:p>
        </w:tc>
      </w:tr>
      <w:tr w:rsidRPr="007E54DC" w:rsidR="4CB54EA0" w:rsidTr="71758930" w14:paraId="139D9137"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4099A30" w14:textId="7BFB2A4F">
            <w:pPr>
              <w:spacing w:line="254" w:lineRule="auto"/>
              <w:rPr>
                <w:rFonts w:ascii="Arial" w:hAnsi="Arial" w:eastAsia="Arial" w:cs="Arial"/>
                <w:sz w:val="18"/>
                <w:szCs w:val="18"/>
              </w:rPr>
            </w:pPr>
            <w:r w:rsidRPr="007E54DC">
              <w:rPr>
                <w:rFonts w:ascii="Arial" w:hAnsi="Arial" w:eastAsia="Arial" w:cs="Arial"/>
                <w:sz w:val="18"/>
                <w:szCs w:val="18"/>
              </w:rPr>
              <w:t>PROBLUE</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183073F1" w14:textId="1DD814E5">
            <w:pPr>
              <w:spacing w:line="254" w:lineRule="auto"/>
              <w:rPr>
                <w:rFonts w:ascii="Arial" w:hAnsi="Arial" w:eastAsia="Arial" w:cs="Arial"/>
                <w:sz w:val="18"/>
                <w:szCs w:val="18"/>
              </w:rPr>
            </w:pPr>
            <w:r w:rsidRPr="007E54DC">
              <w:rPr>
                <w:rFonts w:ascii="Arial" w:hAnsi="Arial" w:eastAsia="Arial" w:cs="Arial"/>
                <w:sz w:val="18"/>
                <w:szCs w:val="18"/>
              </w:rPr>
              <w:t xml:space="preserve">£25m over 5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E4AB7D5" w14:textId="21049C55">
            <w:pPr>
              <w:spacing w:line="254" w:lineRule="auto"/>
              <w:rPr>
                <w:rFonts w:ascii="Arial" w:hAnsi="Arial" w:eastAsia="Arial" w:cs="Arial"/>
                <w:b/>
                <w:bCs/>
                <w:sz w:val="18"/>
                <w:szCs w:val="18"/>
              </w:rPr>
            </w:pPr>
            <w:r w:rsidRPr="007E54DC">
              <w:rPr>
                <w:rFonts w:ascii="Arial" w:hAnsi="Arial" w:eastAsia="Arial" w:cs="Arial"/>
                <w:b/>
                <w:bCs/>
                <w:sz w:val="18"/>
                <w:szCs w:val="18"/>
              </w:rPr>
              <w:t>2.4 - 7.5</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637E844" w14:textId="7DEFFAC7">
            <w:pPr>
              <w:spacing w:line="254" w:lineRule="auto"/>
              <w:rPr>
                <w:rFonts w:ascii="Arial" w:hAnsi="Arial" w:eastAsia="Arial" w:cs="Arial"/>
                <w:sz w:val="18"/>
                <w:szCs w:val="18"/>
              </w:rPr>
            </w:pPr>
            <w:r w:rsidRPr="007E54DC">
              <w:rPr>
                <w:rFonts w:ascii="Arial" w:hAnsi="Arial" w:eastAsia="Arial" w:cs="Arial"/>
                <w:sz w:val="18"/>
                <w:szCs w:val="18"/>
              </w:rPr>
              <w:t xml:space="preserve"> </w:t>
            </w:r>
          </w:p>
        </w:tc>
      </w:tr>
      <w:tr w:rsidRPr="007E54DC" w:rsidR="4CB54EA0" w:rsidTr="71758930" w14:paraId="1ABC533D"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543A580" w14:textId="78158C19">
            <w:pPr>
              <w:spacing w:line="254" w:lineRule="auto"/>
              <w:rPr>
                <w:rFonts w:ascii="Arial" w:hAnsi="Arial" w:eastAsia="Arial" w:cs="Arial"/>
                <w:sz w:val="18"/>
                <w:szCs w:val="18"/>
              </w:rPr>
            </w:pPr>
            <w:r w:rsidRPr="007E54DC">
              <w:rPr>
                <w:rFonts w:ascii="Arial" w:hAnsi="Arial" w:eastAsia="Arial" w:cs="Arial"/>
                <w:sz w:val="18"/>
                <w:szCs w:val="18"/>
              </w:rPr>
              <w:t xml:space="preserve">ORRAA year 1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4648A7C" w14:textId="00CA14C5">
            <w:pPr>
              <w:spacing w:line="254" w:lineRule="auto"/>
              <w:rPr>
                <w:rFonts w:ascii="Arial" w:hAnsi="Arial" w:eastAsia="Arial" w:cs="Arial"/>
                <w:sz w:val="18"/>
                <w:szCs w:val="18"/>
              </w:rPr>
            </w:pPr>
            <w:r w:rsidRPr="007E54DC">
              <w:rPr>
                <w:rFonts w:ascii="Arial" w:hAnsi="Arial" w:eastAsia="Arial" w:cs="Arial"/>
                <w:sz w:val="18"/>
                <w:szCs w:val="18"/>
              </w:rPr>
              <w:t xml:space="preserve">£2m for 1 year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0AEB2669" w14:textId="26A904E5">
            <w:pPr>
              <w:spacing w:line="254" w:lineRule="auto"/>
              <w:rPr>
                <w:rFonts w:ascii="Arial" w:hAnsi="Arial" w:eastAsia="Arial" w:cs="Arial"/>
                <w:b/>
                <w:bCs/>
                <w:sz w:val="18"/>
                <w:szCs w:val="18"/>
              </w:rPr>
            </w:pPr>
            <w:r w:rsidRPr="007E54DC">
              <w:rPr>
                <w:rFonts w:ascii="Arial" w:hAnsi="Arial" w:eastAsia="Arial" w:cs="Arial"/>
                <w:sz w:val="18"/>
                <w:szCs w:val="18"/>
              </w:rPr>
              <w:t xml:space="preserve">Blue Carbon Resilience Credits Pre-Feasibility: </w:t>
            </w:r>
            <w:r w:rsidRPr="007E54DC">
              <w:rPr>
                <w:rFonts w:ascii="Arial" w:hAnsi="Arial" w:eastAsia="Arial" w:cs="Arial"/>
                <w:b/>
                <w:bCs/>
                <w:sz w:val="18"/>
                <w:szCs w:val="18"/>
              </w:rPr>
              <w:t>1.3 – 9.6</w:t>
            </w:r>
          </w:p>
          <w:p w:rsidRPr="007E54DC" w:rsidR="4CB54EA0" w:rsidP="0015573E" w:rsidRDefault="4CB54EA0" w14:paraId="54A90ACD" w14:textId="0E56410F">
            <w:pPr>
              <w:spacing w:line="254" w:lineRule="auto"/>
              <w:rPr>
                <w:rFonts w:ascii="Arial" w:hAnsi="Arial" w:eastAsia="Arial" w:cs="Arial"/>
                <w:b/>
                <w:bCs/>
                <w:sz w:val="18"/>
                <w:szCs w:val="18"/>
              </w:rPr>
            </w:pPr>
            <w:r w:rsidRPr="007E54DC">
              <w:rPr>
                <w:rFonts w:ascii="Arial" w:hAnsi="Arial" w:eastAsia="Arial" w:cs="Arial"/>
                <w:sz w:val="18"/>
                <w:szCs w:val="18"/>
              </w:rPr>
              <w:t xml:space="preserve">Climate Smart Shrimp Initiative: </w:t>
            </w:r>
            <w:r w:rsidRPr="007E54DC">
              <w:rPr>
                <w:rFonts w:ascii="Arial" w:hAnsi="Arial" w:eastAsia="Arial" w:cs="Arial"/>
                <w:b/>
                <w:bCs/>
                <w:sz w:val="18"/>
                <w:szCs w:val="18"/>
              </w:rPr>
              <w:t>1.07 - 1.37</w:t>
            </w:r>
          </w:p>
          <w:p w:rsidRPr="007E54DC" w:rsidR="4CB54EA0" w:rsidP="0015573E" w:rsidRDefault="4CB54EA0" w14:paraId="3ED30965" w14:textId="4CA13129">
            <w:pPr>
              <w:spacing w:line="254" w:lineRule="auto"/>
              <w:rPr>
                <w:rFonts w:ascii="Arial" w:hAnsi="Arial" w:eastAsia="Arial" w:cs="Arial"/>
                <w:b/>
                <w:bCs/>
                <w:sz w:val="18"/>
                <w:szCs w:val="18"/>
              </w:rPr>
            </w:pPr>
            <w:r w:rsidRPr="007E54DC">
              <w:rPr>
                <w:rFonts w:ascii="Arial" w:hAnsi="Arial" w:eastAsia="Arial" w:cs="Arial"/>
                <w:sz w:val="18"/>
                <w:szCs w:val="18"/>
              </w:rPr>
              <w:t xml:space="preserve">Weather index-based parametric insurance: </w:t>
            </w:r>
            <w:r w:rsidRPr="007E54DC">
              <w:rPr>
                <w:rFonts w:ascii="Arial" w:hAnsi="Arial" w:eastAsia="Arial" w:cs="Arial"/>
                <w:b/>
                <w:bCs/>
                <w:sz w:val="18"/>
                <w:szCs w:val="18"/>
              </w:rPr>
              <w:t>10</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A2E4D81" w14:textId="4EE0607E">
            <w:pPr>
              <w:spacing w:line="254" w:lineRule="auto"/>
              <w:rPr>
                <w:rFonts w:ascii="Arial" w:hAnsi="Arial" w:eastAsia="Arial" w:cs="Arial"/>
                <w:sz w:val="18"/>
                <w:szCs w:val="18"/>
              </w:rPr>
            </w:pPr>
            <w:r w:rsidRPr="007E54DC">
              <w:rPr>
                <w:rFonts w:ascii="Arial" w:hAnsi="Arial" w:eastAsia="Arial" w:cs="Arial"/>
                <w:sz w:val="18"/>
                <w:szCs w:val="18"/>
              </w:rPr>
              <w:t>No BCR for the whole project was produced, BCR ranges are for individual projects funded by ORRAA</w:t>
            </w:r>
          </w:p>
        </w:tc>
      </w:tr>
      <w:tr w:rsidRPr="007E54DC" w:rsidR="4CB54EA0" w:rsidTr="71758930" w14:paraId="7C77BCEA"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4501789" w14:textId="5740787A">
            <w:pPr>
              <w:spacing w:line="254" w:lineRule="auto"/>
              <w:rPr>
                <w:rFonts w:ascii="Arial" w:hAnsi="Arial" w:eastAsia="Arial" w:cs="Arial"/>
                <w:sz w:val="18"/>
                <w:szCs w:val="18"/>
              </w:rPr>
            </w:pPr>
            <w:r w:rsidRPr="007E54DC">
              <w:rPr>
                <w:rFonts w:ascii="Arial" w:hAnsi="Arial" w:eastAsia="Arial" w:cs="Arial"/>
                <w:sz w:val="18"/>
                <w:szCs w:val="18"/>
              </w:rPr>
              <w:t>ORRAA year 2</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13758D8D" w14:textId="0C17A372">
            <w:pPr>
              <w:spacing w:line="254" w:lineRule="auto"/>
              <w:rPr>
                <w:rFonts w:ascii="Arial" w:hAnsi="Arial" w:eastAsia="Arial" w:cs="Arial"/>
                <w:sz w:val="18"/>
                <w:szCs w:val="18"/>
              </w:rPr>
            </w:pPr>
            <w:r w:rsidRPr="007E54DC">
              <w:rPr>
                <w:rFonts w:ascii="Arial" w:hAnsi="Arial" w:eastAsia="Arial" w:cs="Arial"/>
                <w:sz w:val="18"/>
                <w:szCs w:val="18"/>
              </w:rPr>
              <w:t xml:space="preserve">£12m over 4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57EC825" w14:textId="5456B7EE">
            <w:pPr>
              <w:spacing w:line="254" w:lineRule="auto"/>
              <w:rPr>
                <w:rFonts w:ascii="Arial" w:hAnsi="Arial" w:eastAsia="Arial" w:cs="Arial"/>
                <w:sz w:val="18"/>
                <w:szCs w:val="18"/>
              </w:rPr>
            </w:pPr>
            <w:r w:rsidRPr="007E54DC">
              <w:rPr>
                <w:rFonts w:ascii="Arial" w:hAnsi="Arial" w:eastAsia="Arial" w:cs="Arial"/>
                <w:b/>
                <w:bCs/>
                <w:sz w:val="18"/>
                <w:szCs w:val="18"/>
              </w:rPr>
              <w:t>2.2</w:t>
            </w:r>
            <w:r w:rsidRPr="007E54DC">
              <w:rPr>
                <w:rFonts w:ascii="Arial" w:hAnsi="Arial" w:eastAsia="Arial" w:cs="Arial"/>
                <w:sz w:val="18"/>
                <w:szCs w:val="18"/>
              </w:rPr>
              <w:t xml:space="preserve"> (low) / </w:t>
            </w:r>
            <w:r w:rsidRPr="007E54DC">
              <w:rPr>
                <w:rFonts w:ascii="Arial" w:hAnsi="Arial" w:eastAsia="Arial" w:cs="Arial"/>
                <w:b/>
                <w:bCs/>
                <w:sz w:val="18"/>
                <w:szCs w:val="18"/>
              </w:rPr>
              <w:t xml:space="preserve">4.2 </w:t>
            </w:r>
            <w:r w:rsidRPr="007E54DC">
              <w:rPr>
                <w:rFonts w:ascii="Arial" w:hAnsi="Arial" w:eastAsia="Arial" w:cs="Arial"/>
                <w:sz w:val="18"/>
                <w:szCs w:val="18"/>
              </w:rPr>
              <w:t xml:space="preserve">(central) / </w:t>
            </w:r>
            <w:r w:rsidRPr="007E54DC">
              <w:rPr>
                <w:rFonts w:ascii="Arial" w:hAnsi="Arial" w:eastAsia="Arial" w:cs="Arial"/>
                <w:b/>
                <w:bCs/>
                <w:sz w:val="18"/>
                <w:szCs w:val="18"/>
              </w:rPr>
              <w:t>6.4</w:t>
            </w:r>
            <w:r w:rsidRPr="007E54DC">
              <w:rPr>
                <w:rFonts w:ascii="Arial" w:hAnsi="Arial" w:eastAsia="Arial" w:cs="Arial"/>
                <w:sz w:val="18"/>
                <w:szCs w:val="18"/>
              </w:rPr>
              <w:t xml:space="preserve"> (high)</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47C7B63" w14:textId="1C42E2D6">
            <w:pPr>
              <w:spacing w:line="254" w:lineRule="auto"/>
              <w:rPr>
                <w:rFonts w:ascii="Arial" w:hAnsi="Arial" w:eastAsia="Arial" w:cs="Arial"/>
                <w:sz w:val="18"/>
                <w:szCs w:val="18"/>
              </w:rPr>
            </w:pPr>
            <w:r w:rsidRPr="007E54DC">
              <w:rPr>
                <w:rFonts w:ascii="Arial" w:hAnsi="Arial" w:eastAsia="Arial" w:cs="Arial"/>
                <w:sz w:val="18"/>
                <w:szCs w:val="18"/>
              </w:rPr>
              <w:t>A proxy BCR based on a partial analysis of ORRAA supported projects</w:t>
            </w:r>
          </w:p>
        </w:tc>
      </w:tr>
      <w:tr w:rsidRPr="007E54DC" w:rsidR="4CB54EA0" w:rsidTr="71758930" w14:paraId="74BC6C25"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F186A61" w14:textId="7A4D63DE">
            <w:pPr>
              <w:spacing w:line="254" w:lineRule="auto"/>
              <w:rPr>
                <w:rFonts w:ascii="Arial" w:hAnsi="Arial" w:eastAsia="Arial" w:cs="Arial"/>
                <w:sz w:val="18"/>
                <w:szCs w:val="18"/>
              </w:rPr>
            </w:pPr>
            <w:r w:rsidRPr="007E54DC">
              <w:rPr>
                <w:rFonts w:ascii="Arial" w:hAnsi="Arial" w:eastAsia="Arial" w:cs="Arial"/>
                <w:sz w:val="18"/>
                <w:szCs w:val="18"/>
              </w:rPr>
              <w:t xml:space="preserve">OCPP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1B17563" w14:textId="604F367D">
            <w:pPr>
              <w:spacing w:line="254" w:lineRule="auto"/>
              <w:rPr>
                <w:rFonts w:ascii="Arial" w:hAnsi="Arial" w:eastAsia="Arial" w:cs="Arial"/>
                <w:sz w:val="18"/>
                <w:szCs w:val="18"/>
              </w:rPr>
            </w:pPr>
            <w:r w:rsidRPr="007E54DC">
              <w:rPr>
                <w:rFonts w:ascii="Arial" w:hAnsi="Arial" w:eastAsia="Arial" w:cs="Arial"/>
                <w:sz w:val="18"/>
                <w:szCs w:val="18"/>
              </w:rPr>
              <w:t xml:space="preserve">£55m over 5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9AB4D67" w14:textId="0341FFDA">
            <w:pPr>
              <w:spacing w:line="254" w:lineRule="auto"/>
              <w:rPr>
                <w:rFonts w:ascii="Arial" w:hAnsi="Arial" w:eastAsia="Arial" w:cs="Arial"/>
                <w:b/>
                <w:bCs/>
                <w:sz w:val="18"/>
                <w:szCs w:val="18"/>
              </w:rPr>
            </w:pPr>
            <w:r w:rsidRPr="007E54DC">
              <w:rPr>
                <w:rFonts w:ascii="Arial" w:hAnsi="Arial" w:eastAsia="Arial" w:cs="Arial"/>
                <w:b/>
                <w:bCs/>
                <w:sz w:val="18"/>
                <w:szCs w:val="18"/>
              </w:rPr>
              <w:t>2.9-9.0</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54781B3" w14:textId="21ABBC6C">
            <w:pPr>
              <w:spacing w:line="254" w:lineRule="auto"/>
              <w:rPr>
                <w:rFonts w:ascii="Arial" w:hAnsi="Arial" w:eastAsia="Arial" w:cs="Arial"/>
                <w:sz w:val="18"/>
                <w:szCs w:val="18"/>
              </w:rPr>
            </w:pPr>
            <w:r w:rsidRPr="007E54DC">
              <w:rPr>
                <w:rFonts w:ascii="Arial" w:hAnsi="Arial" w:eastAsia="Arial" w:cs="Arial"/>
                <w:sz w:val="18"/>
                <w:szCs w:val="18"/>
              </w:rPr>
              <w:t>The range represents the sensitivities in the assumed value of ecosystem service benefits associated with marine plastic, the range of assumed programme effectiveness and the range of potential baseline habitat loss, in addition to adjustments for optimism bias.</w:t>
            </w:r>
          </w:p>
        </w:tc>
      </w:tr>
      <w:tr w:rsidRPr="007E54DC" w:rsidR="4CB54EA0" w:rsidTr="71758930" w14:paraId="3E773E6D"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F0B832D" w14:textId="55B5D942">
            <w:pPr>
              <w:spacing w:line="254" w:lineRule="auto"/>
              <w:rPr>
                <w:rFonts w:ascii="Arial" w:hAnsi="Arial" w:eastAsia="Arial" w:cs="Arial"/>
                <w:sz w:val="18"/>
                <w:szCs w:val="18"/>
              </w:rPr>
            </w:pPr>
            <w:r w:rsidRPr="007E54DC">
              <w:rPr>
                <w:rFonts w:ascii="Arial" w:hAnsi="Arial" w:eastAsia="Arial" w:cs="Arial"/>
                <w:sz w:val="18"/>
                <w:szCs w:val="18"/>
              </w:rPr>
              <w:t xml:space="preserve">GPAP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4AE383A" w14:textId="0F847031">
            <w:pPr>
              <w:spacing w:line="254" w:lineRule="auto"/>
              <w:rPr>
                <w:rFonts w:ascii="Arial" w:hAnsi="Arial" w:eastAsia="Arial" w:cs="Arial"/>
                <w:sz w:val="18"/>
                <w:szCs w:val="18"/>
              </w:rPr>
            </w:pPr>
            <w:r w:rsidRPr="007E54DC">
              <w:rPr>
                <w:rFonts w:ascii="Arial" w:hAnsi="Arial" w:eastAsia="Arial" w:cs="Arial"/>
                <w:sz w:val="18"/>
                <w:szCs w:val="18"/>
              </w:rPr>
              <w:t xml:space="preserve">£12.5m over 5 years </w:t>
            </w:r>
          </w:p>
          <w:p w:rsidRPr="007E54DC" w:rsidR="4CB54EA0" w:rsidP="0015573E" w:rsidRDefault="4CB54EA0" w14:paraId="2DECC553" w14:textId="7328E354">
            <w:pPr>
              <w:spacing w:line="254" w:lineRule="auto"/>
              <w:rPr>
                <w:rFonts w:ascii="Arial" w:hAnsi="Arial" w:eastAsia="Arial" w:cs="Arial"/>
                <w:sz w:val="18"/>
                <w:szCs w:val="18"/>
              </w:rPr>
            </w:pPr>
            <w:r w:rsidRPr="007E54DC">
              <w:rPr>
                <w:rFonts w:ascii="Arial" w:hAnsi="Arial" w:eastAsia="Arial" w:cs="Arial"/>
                <w:sz w:val="18"/>
                <w:szCs w:val="18"/>
              </w:rPr>
              <w:t>In year additional BC: £1.5m for 1 year</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58F78BA0" w14:textId="45932C9D">
            <w:pPr>
              <w:spacing w:line="254" w:lineRule="auto"/>
              <w:rPr>
                <w:rFonts w:ascii="Arial" w:hAnsi="Arial" w:eastAsia="Arial" w:cs="Arial"/>
                <w:b/>
                <w:bCs/>
                <w:sz w:val="18"/>
                <w:szCs w:val="18"/>
              </w:rPr>
            </w:pPr>
            <w:r w:rsidRPr="007E54DC">
              <w:rPr>
                <w:rFonts w:ascii="Arial" w:hAnsi="Arial" w:eastAsia="Arial" w:cs="Arial"/>
                <w:b/>
                <w:bCs/>
                <w:sz w:val="18"/>
                <w:szCs w:val="18"/>
              </w:rPr>
              <w:t>7</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D44B644" w14:textId="380991B5">
            <w:pPr>
              <w:spacing w:line="254" w:lineRule="auto"/>
              <w:rPr>
                <w:rFonts w:ascii="Arial" w:hAnsi="Arial" w:eastAsia="Arial" w:cs="Arial"/>
                <w:sz w:val="18"/>
                <w:szCs w:val="18"/>
              </w:rPr>
            </w:pPr>
            <w:r w:rsidRPr="007E54DC">
              <w:rPr>
                <w:rFonts w:ascii="Arial" w:hAnsi="Arial" w:eastAsia="Arial" w:cs="Arial"/>
                <w:sz w:val="18"/>
                <w:szCs w:val="18"/>
              </w:rPr>
              <w:t xml:space="preserve"> </w:t>
            </w:r>
          </w:p>
        </w:tc>
      </w:tr>
      <w:tr w:rsidRPr="007E54DC" w:rsidR="4CB54EA0" w:rsidTr="71758930" w14:paraId="625F8251"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0719949" w14:textId="2FCAF606">
            <w:pPr>
              <w:spacing w:line="254" w:lineRule="auto"/>
              <w:rPr>
                <w:rFonts w:ascii="Arial" w:hAnsi="Arial" w:eastAsia="Arial" w:cs="Arial"/>
                <w:sz w:val="18"/>
                <w:szCs w:val="18"/>
              </w:rPr>
            </w:pPr>
            <w:r w:rsidRPr="007E54DC">
              <w:rPr>
                <w:rFonts w:ascii="Arial" w:hAnsi="Arial" w:eastAsia="Arial" w:cs="Arial"/>
                <w:sz w:val="18"/>
                <w:szCs w:val="18"/>
              </w:rPr>
              <w:t>GPAP addendum for informal sector work</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01EB28F" w14:textId="5B88C7A4">
            <w:pPr>
              <w:spacing w:line="254" w:lineRule="auto"/>
              <w:rPr>
                <w:rFonts w:ascii="Arial" w:hAnsi="Arial" w:eastAsia="Arial" w:cs="Arial"/>
                <w:sz w:val="18"/>
                <w:szCs w:val="18"/>
              </w:rPr>
            </w:pPr>
            <w:r w:rsidRPr="007E54DC">
              <w:rPr>
                <w:rFonts w:ascii="Arial" w:hAnsi="Arial" w:eastAsia="Arial" w:cs="Arial"/>
                <w:sz w:val="18"/>
                <w:szCs w:val="18"/>
              </w:rPr>
              <w:t xml:space="preserve">£6.5m over 3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61B3224" w14:textId="3C6E01F3">
            <w:pPr>
              <w:spacing w:line="254" w:lineRule="auto"/>
              <w:rPr>
                <w:rFonts w:ascii="Arial" w:hAnsi="Arial" w:eastAsia="Arial" w:cs="Arial"/>
                <w:sz w:val="18"/>
                <w:szCs w:val="18"/>
              </w:rPr>
            </w:pPr>
            <w:r w:rsidRPr="007E54DC">
              <w:rPr>
                <w:rFonts w:ascii="Arial" w:hAnsi="Arial" w:eastAsia="Arial" w:cs="Arial"/>
                <w:b/>
                <w:bCs/>
                <w:sz w:val="18"/>
                <w:szCs w:val="18"/>
              </w:rPr>
              <w:t xml:space="preserve">13.1 </w:t>
            </w:r>
            <w:r w:rsidRPr="007E54DC">
              <w:rPr>
                <w:rFonts w:ascii="Arial" w:hAnsi="Arial" w:eastAsia="Arial" w:cs="Arial"/>
                <w:sz w:val="18"/>
                <w:szCs w:val="18"/>
              </w:rPr>
              <w:t>(low)</w:t>
            </w:r>
            <w:r w:rsidRPr="007E54DC">
              <w:rPr>
                <w:rFonts w:ascii="Arial" w:hAnsi="Arial" w:eastAsia="Arial" w:cs="Arial"/>
                <w:b/>
                <w:bCs/>
                <w:sz w:val="18"/>
                <w:szCs w:val="18"/>
              </w:rPr>
              <w:t xml:space="preserve">, 15 </w:t>
            </w:r>
            <w:r w:rsidRPr="007E54DC">
              <w:rPr>
                <w:rFonts w:ascii="Arial" w:hAnsi="Arial" w:eastAsia="Arial" w:cs="Arial"/>
                <w:sz w:val="18"/>
                <w:szCs w:val="18"/>
              </w:rPr>
              <w:t>(central)</w:t>
            </w:r>
            <w:r w:rsidRPr="007E54DC">
              <w:rPr>
                <w:rFonts w:ascii="Arial" w:hAnsi="Arial" w:eastAsia="Arial" w:cs="Arial"/>
                <w:b/>
                <w:bCs/>
                <w:sz w:val="18"/>
                <w:szCs w:val="18"/>
              </w:rPr>
              <w:t xml:space="preserve">, 16.9 </w:t>
            </w:r>
            <w:r w:rsidRPr="007E54DC">
              <w:rPr>
                <w:rFonts w:ascii="Arial" w:hAnsi="Arial" w:eastAsia="Arial" w:cs="Arial"/>
                <w:sz w:val="18"/>
                <w:szCs w:val="18"/>
              </w:rPr>
              <w:t>(high)</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A4FE636" w14:textId="7A8A64A9">
            <w:pPr>
              <w:spacing w:line="254" w:lineRule="auto"/>
              <w:rPr>
                <w:rFonts w:ascii="Arial" w:hAnsi="Arial" w:eastAsia="Arial" w:cs="Arial"/>
                <w:sz w:val="18"/>
                <w:szCs w:val="18"/>
              </w:rPr>
            </w:pPr>
            <w:r w:rsidRPr="007E54DC">
              <w:rPr>
                <w:rFonts w:ascii="Arial" w:hAnsi="Arial" w:eastAsia="Arial" w:cs="Arial"/>
                <w:sz w:val="18"/>
                <w:szCs w:val="18"/>
              </w:rPr>
              <w:t xml:space="preserve">Range values represent a sensitivity analysis from the original business case of the baseline change which could be expected to happen, as well as an optimism bias of the potential </w:t>
            </w:r>
            <w:r w:rsidRPr="007E54DC">
              <w:rPr>
                <w:rFonts w:ascii="Arial" w:hAnsi="Arial" w:eastAsia="Arial" w:cs="Arial"/>
                <w:sz w:val="18"/>
                <w:szCs w:val="18"/>
              </w:rPr>
              <w:t xml:space="preserve">success of GPAP – </w:t>
            </w:r>
            <w:proofErr w:type="gramStart"/>
            <w:r w:rsidRPr="007E54DC">
              <w:rPr>
                <w:rFonts w:ascii="Arial" w:hAnsi="Arial" w:eastAsia="Arial" w:cs="Arial"/>
                <w:sz w:val="18"/>
                <w:szCs w:val="18"/>
              </w:rPr>
              <w:t>i.e.</w:t>
            </w:r>
            <w:proofErr w:type="gramEnd"/>
            <w:r w:rsidRPr="007E54DC">
              <w:rPr>
                <w:rFonts w:ascii="Arial" w:hAnsi="Arial" w:eastAsia="Arial" w:cs="Arial"/>
                <w:sz w:val="18"/>
                <w:szCs w:val="18"/>
              </w:rPr>
              <w:t xml:space="preserve"> that the future commitments may not be realised or as high as past commitments.</w:t>
            </w:r>
          </w:p>
        </w:tc>
      </w:tr>
      <w:tr w:rsidRPr="007E54DC" w:rsidR="4CB54EA0" w:rsidTr="71758930" w14:paraId="241691F1"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A9790D6" w14:textId="46A72945">
            <w:pPr>
              <w:spacing w:line="254" w:lineRule="auto"/>
              <w:rPr>
                <w:rFonts w:ascii="Arial" w:hAnsi="Arial" w:eastAsia="Arial" w:cs="Arial"/>
                <w:sz w:val="18"/>
                <w:szCs w:val="18"/>
              </w:rPr>
            </w:pPr>
            <w:r w:rsidRPr="007E54DC">
              <w:rPr>
                <w:rFonts w:ascii="Arial" w:hAnsi="Arial" w:eastAsia="Arial" w:cs="Arial"/>
                <w:sz w:val="18"/>
                <w:szCs w:val="18"/>
              </w:rPr>
              <w:t>OCEAN (competitive fund)</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BEE05AC" w14:textId="4ED21CD4">
            <w:pPr>
              <w:spacing w:line="254" w:lineRule="auto"/>
              <w:rPr>
                <w:rFonts w:ascii="Arial" w:hAnsi="Arial" w:eastAsia="Arial" w:cs="Arial"/>
                <w:sz w:val="18"/>
                <w:szCs w:val="18"/>
              </w:rPr>
            </w:pPr>
            <w:r w:rsidRPr="007E54DC">
              <w:rPr>
                <w:rFonts w:ascii="Arial" w:hAnsi="Arial" w:eastAsia="Arial" w:cs="Arial"/>
                <w:sz w:val="18"/>
                <w:szCs w:val="18"/>
              </w:rPr>
              <w:t>£65m over 7 years</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C1B06B7" w14:textId="1D22CC7D">
            <w:pPr>
              <w:spacing w:line="254" w:lineRule="auto"/>
              <w:rPr>
                <w:rFonts w:ascii="Arial" w:hAnsi="Arial" w:eastAsia="Arial" w:cs="Arial"/>
                <w:sz w:val="18"/>
                <w:szCs w:val="18"/>
              </w:rPr>
            </w:pPr>
            <w:r w:rsidRPr="007E54DC">
              <w:rPr>
                <w:rFonts w:ascii="Arial" w:hAnsi="Arial" w:eastAsia="Arial" w:cs="Arial"/>
                <w:b/>
                <w:bCs/>
                <w:sz w:val="18"/>
                <w:szCs w:val="18"/>
              </w:rPr>
              <w:t xml:space="preserve">0.7 </w:t>
            </w:r>
            <w:r w:rsidRPr="007E54DC">
              <w:rPr>
                <w:rFonts w:ascii="Arial" w:hAnsi="Arial" w:eastAsia="Arial" w:cs="Arial"/>
                <w:sz w:val="18"/>
                <w:szCs w:val="18"/>
              </w:rPr>
              <w:t xml:space="preserve">(low) </w:t>
            </w:r>
            <w:r w:rsidRPr="007E54DC">
              <w:rPr>
                <w:rFonts w:ascii="Arial" w:hAnsi="Arial" w:eastAsia="Arial" w:cs="Arial"/>
                <w:b/>
                <w:bCs/>
                <w:sz w:val="18"/>
                <w:szCs w:val="18"/>
              </w:rPr>
              <w:t xml:space="preserve">/ 2 </w:t>
            </w:r>
            <w:r w:rsidRPr="007E54DC">
              <w:rPr>
                <w:rFonts w:ascii="Arial" w:hAnsi="Arial" w:eastAsia="Arial" w:cs="Arial"/>
                <w:sz w:val="18"/>
                <w:szCs w:val="18"/>
              </w:rPr>
              <w:t>(central)</w:t>
            </w:r>
            <w:r w:rsidRPr="007E54DC">
              <w:rPr>
                <w:rFonts w:ascii="Arial" w:hAnsi="Arial" w:eastAsia="Arial" w:cs="Arial"/>
                <w:b/>
                <w:bCs/>
                <w:sz w:val="18"/>
                <w:szCs w:val="18"/>
              </w:rPr>
              <w:t xml:space="preserve"> / 40.2 </w:t>
            </w:r>
            <w:r w:rsidRPr="007E54DC">
              <w:rPr>
                <w:rFonts w:ascii="Arial" w:hAnsi="Arial" w:eastAsia="Arial" w:cs="Arial"/>
                <w:sz w:val="18"/>
                <w:szCs w:val="18"/>
              </w:rPr>
              <w:t>(high)</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0DD407F" w14:textId="024D0707">
            <w:pPr>
              <w:spacing w:line="254" w:lineRule="auto"/>
              <w:rPr>
                <w:rFonts w:ascii="Arial" w:hAnsi="Arial" w:eastAsia="Arial" w:cs="Arial"/>
                <w:sz w:val="18"/>
                <w:szCs w:val="18"/>
              </w:rPr>
            </w:pPr>
            <w:r w:rsidRPr="007E54DC">
              <w:rPr>
                <w:rFonts w:ascii="Arial" w:hAnsi="Arial" w:eastAsia="Arial" w:cs="Arial"/>
                <w:sz w:val="18"/>
                <w:szCs w:val="18"/>
              </w:rPr>
              <w:t xml:space="preserve"> </w:t>
            </w:r>
          </w:p>
        </w:tc>
      </w:tr>
      <w:tr w:rsidRPr="007E54DC" w:rsidR="4CB54EA0" w:rsidTr="71758930" w14:paraId="5F1EF732"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67B8049" w14:textId="2EAECD4A">
            <w:pPr>
              <w:spacing w:line="254" w:lineRule="auto"/>
              <w:rPr>
                <w:rFonts w:ascii="Arial" w:hAnsi="Arial" w:eastAsia="Arial" w:cs="Arial"/>
                <w:sz w:val="18"/>
                <w:szCs w:val="18"/>
              </w:rPr>
            </w:pPr>
            <w:r w:rsidRPr="007E54DC">
              <w:rPr>
                <w:rFonts w:ascii="Arial" w:hAnsi="Arial" w:eastAsia="Arial" w:cs="Arial"/>
                <w:sz w:val="18"/>
                <w:szCs w:val="18"/>
              </w:rPr>
              <w:t>GFCR year 1</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0648FB61" w14:textId="1A66BEF8">
            <w:pPr>
              <w:spacing w:line="254" w:lineRule="auto"/>
              <w:rPr>
                <w:rFonts w:ascii="Arial" w:hAnsi="Arial" w:eastAsia="Arial" w:cs="Arial"/>
                <w:sz w:val="18"/>
                <w:szCs w:val="18"/>
              </w:rPr>
            </w:pPr>
            <w:r w:rsidRPr="007E54DC">
              <w:rPr>
                <w:rFonts w:ascii="Arial" w:hAnsi="Arial" w:eastAsia="Arial" w:cs="Arial"/>
                <w:sz w:val="18"/>
                <w:szCs w:val="18"/>
              </w:rPr>
              <w:t xml:space="preserve">£5m over 1 year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A26A876" w14:textId="37AC6D70">
            <w:pPr>
              <w:spacing w:line="254" w:lineRule="auto"/>
              <w:rPr>
                <w:rFonts w:ascii="Arial" w:hAnsi="Arial" w:eastAsia="Arial" w:cs="Arial"/>
                <w:b/>
                <w:bCs/>
                <w:sz w:val="18"/>
                <w:szCs w:val="18"/>
              </w:rPr>
            </w:pPr>
            <w:r w:rsidRPr="007E54DC">
              <w:rPr>
                <w:rFonts w:ascii="Arial" w:hAnsi="Arial" w:eastAsia="Arial" w:cs="Arial"/>
                <w:b/>
                <w:bCs/>
                <w:sz w:val="18"/>
                <w:szCs w:val="18"/>
              </w:rPr>
              <w:t>4.73</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349E023" w14:textId="68EF4DB4">
            <w:pPr>
              <w:spacing w:line="254" w:lineRule="auto"/>
              <w:rPr>
                <w:rFonts w:ascii="Arial" w:hAnsi="Arial" w:eastAsia="Arial" w:cs="Arial"/>
                <w:sz w:val="18"/>
                <w:szCs w:val="18"/>
              </w:rPr>
            </w:pPr>
            <w:r w:rsidRPr="007E54DC">
              <w:rPr>
                <w:rFonts w:ascii="Arial" w:hAnsi="Arial" w:eastAsia="Arial" w:cs="Arial"/>
                <w:sz w:val="18"/>
                <w:szCs w:val="18"/>
              </w:rPr>
              <w:t xml:space="preserve"> </w:t>
            </w:r>
          </w:p>
        </w:tc>
      </w:tr>
      <w:tr w:rsidRPr="007E54DC" w:rsidR="4CB54EA0" w:rsidTr="71758930" w14:paraId="38C77588"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0CF5BBA8" w14:textId="434521F2">
            <w:pPr>
              <w:spacing w:line="254" w:lineRule="auto"/>
              <w:rPr>
                <w:rFonts w:ascii="Arial" w:hAnsi="Arial" w:eastAsia="Arial" w:cs="Arial"/>
                <w:sz w:val="18"/>
                <w:szCs w:val="18"/>
              </w:rPr>
            </w:pPr>
            <w:r w:rsidRPr="007E54DC">
              <w:rPr>
                <w:rFonts w:ascii="Arial" w:hAnsi="Arial" w:eastAsia="Arial" w:cs="Arial"/>
                <w:sz w:val="18"/>
                <w:szCs w:val="18"/>
              </w:rPr>
              <w:t>GFCR addendum</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03130E00" w14:textId="2859D275">
            <w:pPr>
              <w:spacing w:line="254" w:lineRule="auto"/>
              <w:rPr>
                <w:rFonts w:ascii="Arial" w:hAnsi="Arial" w:eastAsia="Arial" w:cs="Arial"/>
                <w:sz w:val="18"/>
                <w:szCs w:val="18"/>
              </w:rPr>
            </w:pPr>
            <w:r w:rsidRPr="007E54DC">
              <w:rPr>
                <w:rFonts w:ascii="Arial" w:hAnsi="Arial" w:eastAsia="Arial" w:cs="Arial"/>
                <w:sz w:val="18"/>
                <w:szCs w:val="18"/>
              </w:rPr>
              <w:t xml:space="preserve">Up to £24m over 3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786FDFC" w14:textId="2454E0F3">
            <w:pPr>
              <w:spacing w:line="254" w:lineRule="auto"/>
              <w:rPr>
                <w:rFonts w:ascii="Arial" w:hAnsi="Arial" w:eastAsia="Arial" w:cs="Arial"/>
                <w:sz w:val="18"/>
                <w:szCs w:val="18"/>
              </w:rPr>
            </w:pPr>
            <w:r w:rsidRPr="007E54DC">
              <w:rPr>
                <w:rFonts w:ascii="Arial" w:hAnsi="Arial" w:eastAsia="Arial" w:cs="Arial"/>
                <w:b/>
                <w:bCs/>
                <w:sz w:val="18"/>
                <w:szCs w:val="18"/>
              </w:rPr>
              <w:t xml:space="preserve">Mean 4.8 </w:t>
            </w:r>
            <w:r w:rsidRPr="007E54DC">
              <w:rPr>
                <w:rFonts w:ascii="Arial" w:hAnsi="Arial" w:eastAsia="Arial" w:cs="Arial"/>
                <w:sz w:val="18"/>
                <w:szCs w:val="18"/>
              </w:rPr>
              <w:t>(range of 2.1 to 6.8), 4.1 without employment benefits</w:t>
            </w:r>
          </w:p>
          <w:p w:rsidRPr="007E54DC" w:rsidR="4CB54EA0" w:rsidP="0015573E" w:rsidRDefault="4CB54EA0" w14:paraId="2386716E" w14:textId="616C6F8A">
            <w:pPr>
              <w:spacing w:line="254" w:lineRule="auto"/>
              <w:rPr>
                <w:rFonts w:ascii="Arial" w:hAnsi="Arial" w:eastAsia="Arial" w:cs="Arial"/>
                <w:sz w:val="18"/>
                <w:szCs w:val="18"/>
              </w:rPr>
            </w:pPr>
            <w:r w:rsidRPr="007E54DC">
              <w:rPr>
                <w:rFonts w:ascii="Arial" w:hAnsi="Arial" w:eastAsia="Arial" w:cs="Arial"/>
                <w:b/>
                <w:bCs/>
                <w:sz w:val="18"/>
                <w:szCs w:val="18"/>
              </w:rPr>
              <w:t xml:space="preserve">Median 2.7 </w:t>
            </w:r>
            <w:r w:rsidRPr="007E54DC">
              <w:rPr>
                <w:rFonts w:ascii="Arial" w:hAnsi="Arial" w:eastAsia="Arial" w:cs="Arial"/>
                <w:sz w:val="18"/>
                <w:szCs w:val="18"/>
              </w:rPr>
              <w:t>(range of 1.1 to 4.7)</w:t>
            </w:r>
            <w:r w:rsidRPr="007E54DC">
              <w:rPr>
                <w:rFonts w:ascii="Arial" w:hAnsi="Arial" w:eastAsia="Arial" w:cs="Arial"/>
                <w:b/>
                <w:bCs/>
                <w:sz w:val="18"/>
                <w:szCs w:val="18"/>
              </w:rPr>
              <w:t xml:space="preserve"> </w:t>
            </w:r>
            <w:r w:rsidRPr="007E54DC">
              <w:rPr>
                <w:rFonts w:ascii="Arial" w:hAnsi="Arial" w:eastAsia="Arial" w:cs="Arial"/>
                <w:sz w:val="18"/>
                <w:szCs w:val="18"/>
              </w:rPr>
              <w:t>2.4 without employment benefits</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AA89B4E" w14:textId="490FDBE0">
            <w:pPr>
              <w:keepNext/>
              <w:spacing w:line="254" w:lineRule="auto"/>
              <w:rPr>
                <w:rFonts w:ascii="Arial" w:hAnsi="Arial" w:eastAsia="Arial" w:cs="Arial"/>
                <w:sz w:val="18"/>
                <w:szCs w:val="18"/>
              </w:rPr>
            </w:pPr>
            <w:r w:rsidRPr="007E54DC">
              <w:rPr>
                <w:rFonts w:ascii="Arial" w:hAnsi="Arial" w:eastAsia="Arial" w:cs="Arial"/>
                <w:sz w:val="18"/>
                <w:szCs w:val="18"/>
              </w:rPr>
              <w:t>Based on a sample of projects which GFCR will be taking forwards</w:t>
            </w:r>
          </w:p>
        </w:tc>
      </w:tr>
    </w:tbl>
    <w:p w:rsidRPr="007E54DC" w:rsidR="4CB54EA0" w:rsidP="0015573E" w:rsidRDefault="0015573E" w14:paraId="47F759C6" w14:textId="617A89BF">
      <w:pPr>
        <w:pStyle w:val="Caption"/>
        <w:rPr>
          <w:rFonts w:ascii="Arial" w:hAnsi="Arial" w:eastAsia="Arial" w:cs="Arial"/>
          <w:b/>
          <w:bCs/>
          <w:sz w:val="24"/>
          <w:szCs w:val="24"/>
        </w:rPr>
      </w:pPr>
      <w:r w:rsidRPr="007E54DC">
        <w:t xml:space="preserve">Table </w:t>
      </w:r>
      <w:r w:rsidR="000473E7">
        <w:t>15</w:t>
      </w:r>
      <w:r w:rsidRPr="007E54DC">
        <w:rPr>
          <w:noProof/>
        </w:rPr>
        <w:t xml:space="preserve"> -  An Overview of BCRs across the Blue Planet Fund.</w:t>
      </w:r>
    </w:p>
    <w:p w:rsidRPr="007E54DC" w:rsidR="00867BCE" w:rsidP="00867BCE" w:rsidRDefault="00867BCE" w14:paraId="41913D62" w14:textId="761782AF" w14:noSpellErr="1">
      <w:pPr>
        <w:pStyle w:val="Heading2"/>
        <w:rPr/>
      </w:pPr>
      <w:bookmarkStart w:name="_Toc1036323474" w:id="870407428"/>
      <w:r w:rsidR="00867BCE">
        <w:rPr/>
        <w:t xml:space="preserve">Annex </w:t>
      </w:r>
      <w:r w:rsidR="1EA3BD95">
        <w:rPr>
          <w:b w:val="0"/>
          <w:bCs w:val="0"/>
        </w:rPr>
        <w:t>G</w:t>
      </w:r>
      <w:r w:rsidR="00867BCE">
        <w:rPr/>
        <w:t>– Risks</w:t>
      </w:r>
      <w:bookmarkEnd w:id="870407428"/>
    </w:p>
    <w:tbl>
      <w:tblPr>
        <w:tblStyle w:val="TableGrid"/>
        <w:tblW w:w="5000" w:type="pct"/>
        <w:tblLook w:val="04A0" w:firstRow="1" w:lastRow="0" w:firstColumn="1" w:lastColumn="0" w:noHBand="0" w:noVBand="1"/>
      </w:tblPr>
      <w:tblGrid>
        <w:gridCol w:w="1550"/>
        <w:gridCol w:w="4254"/>
        <w:gridCol w:w="6668"/>
        <w:gridCol w:w="1466"/>
      </w:tblGrid>
      <w:tr w:rsidRPr="007E54DC" w:rsidR="00867BCE" w:rsidTr="2CBED01F" w14:paraId="083A0A2B" w14:textId="77777777">
        <w:tc>
          <w:tcPr>
            <w:tcW w:w="2082" w:type="pct"/>
            <w:gridSpan w:val="2"/>
            <w:shd w:val="clear" w:color="auto" w:fill="BDD6EE" w:themeFill="accent5" w:themeFillTint="66"/>
          </w:tcPr>
          <w:p w:rsidRPr="007E54DC" w:rsidR="00867BCE" w:rsidP="00802E75" w:rsidRDefault="00867BCE" w14:paraId="7BECB2E3" w14:textId="77777777">
            <w:pPr>
              <w:spacing w:after="0"/>
              <w:jc w:val="left"/>
              <w:rPr>
                <w:b/>
                <w:bCs/>
              </w:rPr>
            </w:pPr>
            <w:r w:rsidRPr="007E54DC">
              <w:rPr>
                <w:b/>
                <w:bCs/>
              </w:rPr>
              <w:t>Risk</w:t>
            </w:r>
          </w:p>
        </w:tc>
        <w:tc>
          <w:tcPr>
            <w:tcW w:w="2392" w:type="pct"/>
            <w:shd w:val="clear" w:color="auto" w:fill="BDD6EE" w:themeFill="accent5" w:themeFillTint="66"/>
          </w:tcPr>
          <w:p w:rsidRPr="007E54DC" w:rsidR="00867BCE" w:rsidP="00802E75" w:rsidRDefault="00867BCE" w14:paraId="4297B569" w14:textId="77777777">
            <w:pPr>
              <w:spacing w:after="0"/>
              <w:jc w:val="left"/>
              <w:rPr>
                <w:b/>
                <w:bCs/>
              </w:rPr>
            </w:pPr>
            <w:r w:rsidRPr="007E54DC">
              <w:rPr>
                <w:b/>
                <w:bCs/>
              </w:rPr>
              <w:t>Mitigation</w:t>
            </w:r>
          </w:p>
        </w:tc>
        <w:tc>
          <w:tcPr>
            <w:tcW w:w="526" w:type="pct"/>
            <w:shd w:val="clear" w:color="auto" w:fill="BDD6EE" w:themeFill="accent5" w:themeFillTint="66"/>
          </w:tcPr>
          <w:p w:rsidRPr="007E54DC" w:rsidR="00867BCE" w:rsidP="00802E75" w:rsidRDefault="00867BCE" w14:paraId="51175C3A" w14:textId="77777777">
            <w:pPr>
              <w:spacing w:after="0"/>
              <w:jc w:val="left"/>
              <w:rPr>
                <w:b/>
                <w:bCs/>
              </w:rPr>
            </w:pPr>
            <w:r w:rsidRPr="007E54DC">
              <w:rPr>
                <w:b/>
                <w:bCs/>
              </w:rPr>
              <w:t>Status</w:t>
            </w:r>
          </w:p>
        </w:tc>
      </w:tr>
      <w:tr w:rsidRPr="007E54DC" w:rsidR="00867BCE" w:rsidTr="2CBED01F" w14:paraId="4C4DED5A" w14:textId="77777777">
        <w:tc>
          <w:tcPr>
            <w:tcW w:w="556" w:type="pct"/>
          </w:tcPr>
          <w:p w:rsidRPr="007E54DC" w:rsidR="00867BCE" w:rsidP="00802E75" w:rsidRDefault="00867BCE" w14:paraId="35A4D915" w14:textId="77777777">
            <w:pPr>
              <w:jc w:val="left"/>
            </w:pPr>
            <w:r w:rsidRPr="007E54DC">
              <w:rPr>
                <w:b/>
                <w:bCs/>
              </w:rPr>
              <w:t>Operational</w:t>
            </w:r>
            <w:r w:rsidRPr="007E54DC">
              <w:t>: Opportunity cost risk</w:t>
            </w:r>
          </w:p>
        </w:tc>
        <w:tc>
          <w:tcPr>
            <w:tcW w:w="1526" w:type="pct"/>
          </w:tcPr>
          <w:p w:rsidRPr="007E54DC" w:rsidR="00867BCE" w:rsidP="00802E75" w:rsidRDefault="00867BCE" w14:paraId="1028BCB8" w14:textId="77777777">
            <w:pPr>
              <w:jc w:val="left"/>
            </w:pPr>
            <w:r w:rsidRPr="007E54DC">
              <w:t>With this uplift the UK would be providing a significant proportional uplift of funding at what is a relatively early phase in the Fund’s development. There is a risk that the GFCR will be unable to utilise funding secured if it takes more time than expected to scale up. This would bring associated opportunity costs as the funding could have been used elsewhere. However, as of the end of 2021, 99% of GFCR funding has been allocated to projects.</w:t>
            </w:r>
          </w:p>
        </w:tc>
        <w:tc>
          <w:tcPr>
            <w:tcW w:w="2392" w:type="pct"/>
          </w:tcPr>
          <w:p w:rsidRPr="007E54DC" w:rsidR="00867BCE" w:rsidP="00802E75" w:rsidRDefault="71767471" w14:paraId="05DC9A44" w14:textId="77777777">
            <w:pPr>
              <w:spacing w:after="0"/>
              <w:jc w:val="left"/>
            </w:pPr>
            <w:r w:rsidRPr="007E54DC">
              <w:t>The BPF Team are in close coordination with the GFCR, with ongoing evidence and assurance provided of a strong pipeline of projects, both new and existing that are scaling up rapidly following successful scoping and planning stages.  Although this business case is for up to £24m, the contributions will be broken down annually and only approved based on performance, ongoing trend of growth, and need and evidence of pipeline continuing. If not, funding will be held back or delayed as needed. Although Defra have yet to conduct an independent due diligence assessment on UNDP (as the lead agency behind the GFCR), the Multilateral Organisation Performance Assessment Network (MOPAN) published a new review on UNDP</w:t>
            </w:r>
            <w:r w:rsidRPr="007E54DC" w:rsidR="00867BCE">
              <w:rPr>
                <w:rStyle w:val="FootnoteReference"/>
              </w:rPr>
              <w:footnoteReference w:id="32"/>
            </w:r>
            <w:r w:rsidRPr="007E54DC">
              <w:t xml:space="preserve"> in 2021 which found that:</w:t>
            </w:r>
          </w:p>
          <w:p w:rsidRPr="007E54DC" w:rsidR="00867BCE" w:rsidP="00802E75" w:rsidRDefault="00867BCE" w14:paraId="7B16D7C0" w14:textId="77777777">
            <w:pPr>
              <w:numPr>
                <w:ilvl w:val="0"/>
                <w:numId w:val="23"/>
              </w:numPr>
              <w:spacing w:after="0"/>
              <w:jc w:val="left"/>
            </w:pPr>
            <w:r w:rsidRPr="007E54DC">
              <w:t>UNDP has handled the turbulent context of the recent years well. It fully aligned with the 2030 Development Agenda, played a constructive role in UN Reforms, and demonstrated great resilience and new dynamism in responding to the COVID-19 pandemic. UNDP – a partner agency at heart - is strongly committed to, and aligned with, Member States’ priorities.</w:t>
            </w:r>
          </w:p>
          <w:p w:rsidRPr="007E54DC" w:rsidR="00867BCE" w:rsidP="00802E75" w:rsidRDefault="00867BCE" w14:paraId="365FD1AB" w14:textId="77777777">
            <w:pPr>
              <w:numPr>
                <w:ilvl w:val="0"/>
                <w:numId w:val="23"/>
              </w:numPr>
              <w:spacing w:after="0"/>
              <w:jc w:val="left"/>
            </w:pPr>
            <w:r w:rsidRPr="007E54DC">
              <w:t>Its effective decentralised decision-making and resource allocation mechanisms support this.</w:t>
            </w:r>
          </w:p>
          <w:p w:rsidRPr="007E54DC" w:rsidR="00867BCE" w:rsidP="00802E75" w:rsidRDefault="00867BCE" w14:paraId="14FB5CC6" w14:textId="77777777">
            <w:pPr>
              <w:numPr>
                <w:ilvl w:val="0"/>
                <w:numId w:val="23"/>
              </w:numPr>
              <w:spacing w:after="0"/>
              <w:jc w:val="left"/>
            </w:pPr>
            <w:r w:rsidRPr="007E54DC">
              <w:t>UNDP’s strong management systems, independent evaluation and oversight functions and its transparent information disclosure have made it a trusted partner.</w:t>
            </w:r>
          </w:p>
          <w:p w:rsidRPr="007E54DC" w:rsidR="00867BCE" w:rsidP="00802E75" w:rsidRDefault="00867BCE" w14:paraId="0A22CEA2" w14:textId="55203065">
            <w:pPr>
              <w:spacing w:after="0"/>
              <w:jc w:val="left"/>
            </w:pPr>
          </w:p>
        </w:tc>
        <w:tc>
          <w:tcPr>
            <w:tcW w:w="526" w:type="pct"/>
            <w:shd w:val="clear" w:color="auto" w:fill="FFE599" w:themeFill="accent4" w:themeFillTint="66"/>
          </w:tcPr>
          <w:p w:rsidRPr="007E54DC" w:rsidR="00867BCE" w:rsidP="00802E75" w:rsidRDefault="00867BCE" w14:paraId="745DC0E4" w14:textId="77777777">
            <w:pPr>
              <w:jc w:val="left"/>
            </w:pPr>
            <w:r w:rsidRPr="007E54DC">
              <w:t>Impact: Significant</w:t>
            </w:r>
          </w:p>
          <w:p w:rsidRPr="007E54DC" w:rsidR="00867BCE" w:rsidP="00802E75" w:rsidRDefault="00867BCE" w14:paraId="4BBDD2D4" w14:textId="77777777">
            <w:pPr>
              <w:jc w:val="left"/>
            </w:pPr>
            <w:r w:rsidRPr="007E54DC">
              <w:t>Likelihood: Very unlikely</w:t>
            </w:r>
          </w:p>
        </w:tc>
      </w:tr>
      <w:tr w:rsidRPr="007E54DC" w:rsidR="00867BCE" w:rsidTr="2CBED01F" w14:paraId="566BDA06" w14:textId="77777777">
        <w:tc>
          <w:tcPr>
            <w:tcW w:w="556" w:type="pct"/>
          </w:tcPr>
          <w:p w:rsidRPr="007E54DC" w:rsidR="00867BCE" w:rsidP="00802E75" w:rsidRDefault="00867BCE" w14:paraId="64976378" w14:textId="77777777">
            <w:pPr>
              <w:jc w:val="left"/>
            </w:pPr>
            <w:r w:rsidRPr="007E54DC">
              <w:rPr>
                <w:b/>
                <w:bCs/>
              </w:rPr>
              <w:t xml:space="preserve">Financial: </w:t>
            </w:r>
            <w:r w:rsidRPr="007E54DC">
              <w:t>Advance payment risk</w:t>
            </w:r>
          </w:p>
        </w:tc>
        <w:tc>
          <w:tcPr>
            <w:tcW w:w="1526" w:type="pct"/>
          </w:tcPr>
          <w:p w:rsidRPr="007E54DC" w:rsidR="00867BCE" w:rsidP="00802E75" w:rsidRDefault="00867BCE" w14:paraId="1ECFE144" w14:textId="77777777">
            <w:pPr>
              <w:jc w:val="left"/>
            </w:pPr>
            <w:r w:rsidRPr="007E54DC">
              <w:t xml:space="preserve">The GFCR provides fund to partners for an initial period of 12-18 months which if not evidenced appropriately could be perceived as payment in advance of need. </w:t>
            </w:r>
          </w:p>
        </w:tc>
        <w:tc>
          <w:tcPr>
            <w:tcW w:w="2392" w:type="pct"/>
          </w:tcPr>
          <w:p w:rsidRPr="007E54DC" w:rsidR="00867BCE" w:rsidP="00802E75" w:rsidRDefault="00867BCE" w14:paraId="2801AC0C" w14:textId="77777777">
            <w:pPr>
              <w:pStyle w:val="ListParagraph"/>
              <w:numPr>
                <w:ilvl w:val="0"/>
                <w:numId w:val="24"/>
              </w:numPr>
              <w:spacing w:after="0"/>
              <w:jc w:val="left"/>
            </w:pPr>
            <w:r w:rsidRPr="007E54DC">
              <w:t>GFCR conduct due diligence on all convening agents for each project to assess operational and financial integrity before putting proposals to the EB for approval. This minimises risk and maximises the chances of proposals being approved that are convened by organisations and consortia that have strong systems and processes in place.</w:t>
            </w:r>
          </w:p>
          <w:p w:rsidRPr="007E54DC" w:rsidR="00867BCE" w:rsidP="00802E75" w:rsidRDefault="00867BCE" w14:paraId="633200A1" w14:textId="77777777">
            <w:pPr>
              <w:pStyle w:val="ListParagraph"/>
              <w:numPr>
                <w:ilvl w:val="0"/>
                <w:numId w:val="24"/>
              </w:numPr>
              <w:spacing w:after="0"/>
              <w:jc w:val="left"/>
            </w:pPr>
            <w:r w:rsidRPr="007E54DC">
              <w:t>Defra’s seat on the EB also provides influence over the disbursement profile of funding to each project so we (and other donors) can challenge whether sufficient evidence is provided to justify advance payment and avoid straying into making payment in advance of need.</w:t>
            </w:r>
          </w:p>
          <w:p w:rsidRPr="007E54DC" w:rsidR="00867BCE" w:rsidP="00802E75" w:rsidRDefault="00867BCE" w14:paraId="104F0A24" w14:textId="0E06AD49">
            <w:pPr>
              <w:pStyle w:val="ListParagraph"/>
              <w:numPr>
                <w:ilvl w:val="0"/>
                <w:numId w:val="24"/>
              </w:numPr>
              <w:spacing w:after="0"/>
              <w:jc w:val="left"/>
            </w:pPr>
            <w:r w:rsidRPr="007E54DC">
              <w:t xml:space="preserve">Further funding is approved once the partner demonstrates it has spent at least 80% of the previous disbursement and has sufficiently progressed activities and this </w:t>
            </w:r>
            <w:r w:rsidRPr="007E54DC" w:rsidR="00D14ACA">
              <w:t>12–18-month</w:t>
            </w:r>
            <w:r w:rsidRPr="007E54DC">
              <w:t xml:space="preserve"> period is minimised as much as possible.</w:t>
            </w:r>
          </w:p>
        </w:tc>
        <w:tc>
          <w:tcPr>
            <w:tcW w:w="526" w:type="pct"/>
            <w:shd w:val="clear" w:color="auto" w:fill="FFE599" w:themeFill="accent4" w:themeFillTint="66"/>
          </w:tcPr>
          <w:p w:rsidRPr="007E54DC" w:rsidR="00867BCE" w:rsidP="00802E75" w:rsidRDefault="00867BCE" w14:paraId="4344BEE6" w14:textId="77777777">
            <w:pPr>
              <w:jc w:val="left"/>
            </w:pPr>
            <w:r w:rsidRPr="007E54DC">
              <w:t>Impact: Moderate</w:t>
            </w:r>
          </w:p>
          <w:p w:rsidRPr="007E54DC" w:rsidR="00867BCE" w:rsidP="00802E75" w:rsidRDefault="00867BCE" w14:paraId="3F5C63C2" w14:textId="77777777">
            <w:pPr>
              <w:jc w:val="left"/>
            </w:pPr>
            <w:r w:rsidRPr="007E54DC">
              <w:t>Likelihood: Unlikely</w:t>
            </w:r>
          </w:p>
        </w:tc>
      </w:tr>
      <w:tr w:rsidRPr="007E54DC" w:rsidR="00867BCE" w:rsidTr="2CBED01F" w14:paraId="765C3DD5" w14:textId="77777777">
        <w:tc>
          <w:tcPr>
            <w:tcW w:w="556" w:type="pct"/>
          </w:tcPr>
          <w:p w:rsidRPr="007E54DC" w:rsidR="00867BCE" w:rsidP="00802E75" w:rsidRDefault="00867BCE" w14:paraId="0297FC23" w14:textId="77777777">
            <w:pPr>
              <w:jc w:val="left"/>
            </w:pPr>
            <w:r w:rsidRPr="007E54DC">
              <w:rPr>
                <w:b/>
                <w:bCs/>
              </w:rPr>
              <w:t>Operational</w:t>
            </w:r>
            <w:r w:rsidRPr="007E54DC">
              <w:t xml:space="preserve"> and </w:t>
            </w:r>
            <w:r w:rsidRPr="007E54DC">
              <w:rPr>
                <w:b/>
                <w:bCs/>
              </w:rPr>
              <w:t>Reputational</w:t>
            </w:r>
            <w:r w:rsidRPr="007E54DC">
              <w:t xml:space="preserve">: Ongoing </w:t>
            </w:r>
            <w:r w:rsidRPr="007E54DC">
              <w:t>mobilisation and delivery risk</w:t>
            </w:r>
          </w:p>
        </w:tc>
        <w:tc>
          <w:tcPr>
            <w:tcW w:w="1526" w:type="pct"/>
          </w:tcPr>
          <w:p w:rsidRPr="007E54DC" w:rsidR="00867BCE" w:rsidP="00802E75" w:rsidRDefault="00867BCE" w14:paraId="1BB08A08" w14:textId="77777777">
            <w:pPr>
              <w:jc w:val="left"/>
            </w:pPr>
            <w:r w:rsidRPr="007E54DC">
              <w:t xml:space="preserve">With reliance on donors and investors there is a risk the GFCR will not be able to continue to mobilise sufficient resources to complete its </w:t>
            </w:r>
            <w:r w:rsidRPr="007E54DC">
              <w:t>initiated and planned projects, resulting in it failing to deliver on our desired outcomes.</w:t>
            </w:r>
          </w:p>
        </w:tc>
        <w:tc>
          <w:tcPr>
            <w:tcW w:w="2392" w:type="pct"/>
          </w:tcPr>
          <w:p w:rsidRPr="007E54DC" w:rsidR="00867BCE" w:rsidP="00802E75" w:rsidRDefault="00867BCE" w14:paraId="5EAC1B0A" w14:textId="77777777">
            <w:pPr>
              <w:jc w:val="left"/>
            </w:pPr>
            <w:r w:rsidRPr="007E54DC">
              <w:t xml:space="preserve">Over the last year the GFCR has demonstrated its ability to mobilise funding, including significant capital from the GCF but the agreement between UK and the GFCR has a claw-back clause if the Fund cannot fulfil its commitments. We also understand from conversations with GFCR that additional UK funding will   </w:t>
            </w:r>
            <w:r w:rsidRPr="007E54DC">
              <w:t>be catalytic, leveraging other donor finance through our strong signal of support for the Fund; this helps mitigate this risk.</w:t>
            </w:r>
          </w:p>
        </w:tc>
        <w:tc>
          <w:tcPr>
            <w:tcW w:w="526" w:type="pct"/>
            <w:shd w:val="clear" w:color="auto" w:fill="C5E0B3" w:themeFill="accent6" w:themeFillTint="66"/>
          </w:tcPr>
          <w:p w:rsidRPr="007E54DC" w:rsidR="00867BCE" w:rsidP="00802E75" w:rsidRDefault="00867BCE" w14:paraId="0B964014" w14:textId="77777777">
            <w:pPr>
              <w:jc w:val="left"/>
            </w:pPr>
            <w:r w:rsidRPr="007E54DC">
              <w:t>Impact: Moderate</w:t>
            </w:r>
          </w:p>
          <w:p w:rsidRPr="007E54DC" w:rsidR="00867BCE" w:rsidP="00802E75" w:rsidRDefault="00867BCE" w14:paraId="1E24F2E5" w14:textId="77777777">
            <w:pPr>
              <w:jc w:val="left"/>
            </w:pPr>
            <w:r w:rsidRPr="007E54DC">
              <w:t>Likelihood:</w:t>
            </w:r>
          </w:p>
          <w:p w:rsidRPr="007E54DC" w:rsidR="00867BCE" w:rsidP="00802E75" w:rsidRDefault="00867BCE" w14:paraId="0A86F471" w14:textId="77777777">
            <w:pPr>
              <w:jc w:val="left"/>
            </w:pPr>
            <w:r w:rsidRPr="007E54DC">
              <w:t>Very unlikely</w:t>
            </w:r>
          </w:p>
        </w:tc>
      </w:tr>
      <w:tr w:rsidRPr="007E54DC" w:rsidR="00867BCE" w:rsidTr="2CBED01F" w14:paraId="4E0EB3F6" w14:textId="77777777">
        <w:tc>
          <w:tcPr>
            <w:tcW w:w="556" w:type="pct"/>
          </w:tcPr>
          <w:p w:rsidRPr="007E54DC" w:rsidR="00867BCE" w:rsidP="00802E75" w:rsidRDefault="00867BCE" w14:paraId="4BBD09B7" w14:textId="77777777">
            <w:pPr>
              <w:jc w:val="left"/>
            </w:pPr>
            <w:r w:rsidRPr="007E54DC">
              <w:rPr>
                <w:b/>
                <w:bCs/>
              </w:rPr>
              <w:t>Reputational</w:t>
            </w:r>
            <w:r w:rsidRPr="007E54DC">
              <w:t>: UK exposure and burden share risk</w:t>
            </w:r>
          </w:p>
        </w:tc>
        <w:tc>
          <w:tcPr>
            <w:tcW w:w="1526" w:type="pct"/>
          </w:tcPr>
          <w:p w:rsidRPr="007E54DC" w:rsidR="00867BCE" w:rsidP="00802E75" w:rsidRDefault="00867BCE" w14:paraId="2E2A9CB4" w14:textId="77777777">
            <w:pPr>
              <w:jc w:val="left"/>
            </w:pPr>
            <w:r w:rsidRPr="007E54DC">
              <w:t>As the GFCR forms a larger part of the BPF portfolio and the Fund itself continues to grow, it carries more reputational risk for the BPF and HMG, particularly as the UK is the largest donor.</w:t>
            </w:r>
          </w:p>
        </w:tc>
        <w:tc>
          <w:tcPr>
            <w:tcW w:w="2392" w:type="pct"/>
          </w:tcPr>
          <w:p w:rsidRPr="007E54DC" w:rsidR="00867BCE" w:rsidP="00802E75" w:rsidRDefault="00867BCE" w14:paraId="33CA7C75" w14:textId="6C546052">
            <w:pPr>
              <w:pStyle w:val="ListParagraph"/>
              <w:numPr>
                <w:ilvl w:val="0"/>
                <w:numId w:val="16"/>
              </w:numPr>
              <w:rPr>
                <w:rFonts w:eastAsia="Times New Roman"/>
              </w:rPr>
            </w:pPr>
            <w:r w:rsidRPr="007E54DC">
              <w:rPr>
                <w:rFonts w:eastAsia="Times New Roman"/>
              </w:rPr>
              <w:t xml:space="preserve">The UNDP team that manages the GFCR have already proved themselves to be proficient and as the Fund continues to scale are taking additional steps to mitigate any reputational risk to donors through poor performance. </w:t>
            </w:r>
            <w:r w:rsidRPr="007E54DC" w:rsidR="00D14ACA">
              <w:rPr>
                <w:rFonts w:eastAsia="Times New Roman"/>
              </w:rPr>
              <w:t>E.g.,</w:t>
            </w:r>
            <w:r w:rsidRPr="007E54DC">
              <w:rPr>
                <w:rFonts w:eastAsia="Times New Roman"/>
              </w:rPr>
              <w:t xml:space="preserve"> to improve their monitoring evaluation and learning (MEL) (with a proposed new MEL strategy) and a new safeguarding strategy</w:t>
            </w:r>
          </w:p>
          <w:p w:rsidRPr="007E54DC" w:rsidR="00867BCE" w:rsidP="00802E75" w:rsidRDefault="71767471" w14:paraId="7A1570E3" w14:textId="77777777">
            <w:pPr>
              <w:pStyle w:val="ListParagraph"/>
              <w:numPr>
                <w:ilvl w:val="0"/>
                <w:numId w:val="16"/>
              </w:numPr>
              <w:rPr>
                <w:rFonts w:eastAsia="Times New Roman"/>
              </w:rPr>
            </w:pPr>
            <w:r w:rsidRPr="007E54DC">
              <w:rPr>
                <w:rFonts w:eastAsia="Times New Roman"/>
              </w:rPr>
              <w:t xml:space="preserve">The UK are seeking greater roles for the other organisations that advise and complement the work of the Fund that we are involved in such as the Ocean Risk and Resilience Action Alliance (ORRAA) which the UK invests in independently. Through ORRAA we </w:t>
            </w:r>
            <w:proofErr w:type="gramStart"/>
            <w:r w:rsidRPr="007E54DC">
              <w:rPr>
                <w:rFonts w:eastAsia="Times New Roman"/>
              </w:rPr>
              <w:t>are able to</w:t>
            </w:r>
            <w:proofErr w:type="gramEnd"/>
            <w:r w:rsidRPr="007E54DC">
              <w:rPr>
                <w:rFonts w:eastAsia="Times New Roman"/>
              </w:rPr>
              <w:t xml:space="preserve"> maximise the levers we have at our disposal to ensure strong and robust fund performance and therefore mitigate this risk</w:t>
            </w:r>
            <w:r w:rsidRPr="007E54DC" w:rsidR="00867BCE">
              <w:rPr>
                <w:rStyle w:val="FootnoteReference"/>
                <w:rFonts w:eastAsia="Times New Roman"/>
              </w:rPr>
              <w:footnoteReference w:id="33"/>
            </w:r>
            <w:r w:rsidRPr="007E54DC">
              <w:rPr>
                <w:rFonts w:eastAsia="Times New Roman"/>
              </w:rPr>
              <w:t>.</w:t>
            </w:r>
          </w:p>
          <w:p w:rsidRPr="007E54DC" w:rsidR="00867BCE" w:rsidP="00802E75" w:rsidRDefault="00867BCE" w14:paraId="2398B33F" w14:textId="77777777">
            <w:pPr>
              <w:pStyle w:val="ListParagraph"/>
              <w:numPr>
                <w:ilvl w:val="0"/>
                <w:numId w:val="16"/>
              </w:numPr>
              <w:rPr>
                <w:rFonts w:eastAsia="Times New Roman"/>
              </w:rPr>
            </w:pPr>
            <w:r w:rsidRPr="007E54DC">
              <w:rPr>
                <w:rFonts w:eastAsia="Times New Roman"/>
              </w:rPr>
              <w:t>As with Risk 1, although this business case will increase the proportion by which the UK is the largest public donor, each year’s contribution will be based on growth, need and evidence of pipeline and if these are not demonstrated funding will be held back or delayed as needed.</w:t>
            </w:r>
          </w:p>
          <w:p w:rsidRPr="007E54DC" w:rsidR="00867BCE" w:rsidP="00802E75" w:rsidRDefault="00867BCE" w14:paraId="34213840" w14:textId="77777777">
            <w:pPr>
              <w:pStyle w:val="ListParagraph"/>
              <w:numPr>
                <w:ilvl w:val="0"/>
                <w:numId w:val="16"/>
              </w:numPr>
              <w:rPr>
                <w:rFonts w:eastAsia="Times New Roman"/>
              </w:rPr>
            </w:pPr>
            <w:r w:rsidRPr="007E54DC">
              <w:rPr>
                <w:rFonts w:eastAsia="Times New Roman"/>
              </w:rPr>
              <w:t xml:space="preserve">As with Risk 2, we also expect that that this additional UK funding to be catalytic, leveraging other donor finance through our strong signal of support, bringing parity to the scale of donor </w:t>
            </w:r>
            <w:proofErr w:type="gramStart"/>
            <w:r w:rsidRPr="007E54DC">
              <w:rPr>
                <w:rFonts w:eastAsia="Times New Roman"/>
              </w:rPr>
              <w:t>contributions</w:t>
            </w:r>
            <w:proofErr w:type="gramEnd"/>
            <w:r w:rsidRPr="007E54DC">
              <w:rPr>
                <w:rFonts w:eastAsia="Times New Roman"/>
              </w:rPr>
              <w:t xml:space="preserve"> and mitigating this risk. </w:t>
            </w:r>
          </w:p>
          <w:p w:rsidRPr="007E54DC" w:rsidR="00867BCE" w:rsidP="00802E75" w:rsidRDefault="00867BCE" w14:paraId="7977CA36" w14:textId="77777777">
            <w:pPr>
              <w:pStyle w:val="ListParagraph"/>
              <w:numPr>
                <w:ilvl w:val="0"/>
                <w:numId w:val="16"/>
              </w:numPr>
              <w:rPr>
                <w:rFonts w:eastAsia="Times New Roman"/>
              </w:rPr>
            </w:pPr>
            <w:r w:rsidRPr="007E54DC">
              <w:rPr>
                <w:rFonts w:eastAsia="Times New Roman"/>
              </w:rPr>
              <w:t xml:space="preserve">Finally, as a pooled fund with no specific accountability of any one donors funding to any </w:t>
            </w:r>
            <w:proofErr w:type="gramStart"/>
            <w:r w:rsidRPr="007E54DC">
              <w:rPr>
                <w:rFonts w:eastAsia="Times New Roman"/>
              </w:rPr>
              <w:t>particular project</w:t>
            </w:r>
            <w:proofErr w:type="gramEnd"/>
            <w:r w:rsidRPr="007E54DC">
              <w:rPr>
                <w:rFonts w:eastAsia="Times New Roman"/>
              </w:rPr>
              <w:t>, the reputational risk to all donors, is in effect shared equally.</w:t>
            </w:r>
          </w:p>
        </w:tc>
        <w:tc>
          <w:tcPr>
            <w:tcW w:w="526" w:type="pct"/>
            <w:shd w:val="clear" w:color="auto" w:fill="FFE599" w:themeFill="accent4" w:themeFillTint="66"/>
          </w:tcPr>
          <w:p w:rsidRPr="007E54DC" w:rsidR="00867BCE" w:rsidP="00802E75" w:rsidRDefault="00867BCE" w14:paraId="03956717" w14:textId="77777777">
            <w:pPr>
              <w:jc w:val="left"/>
            </w:pPr>
            <w:r w:rsidRPr="007E54DC">
              <w:t>Impact: Moderate</w:t>
            </w:r>
          </w:p>
          <w:p w:rsidRPr="007E54DC" w:rsidR="00867BCE" w:rsidP="00802E75" w:rsidRDefault="00867BCE" w14:paraId="15A09F5F" w14:textId="77777777">
            <w:pPr>
              <w:jc w:val="left"/>
            </w:pPr>
            <w:r w:rsidRPr="007E54DC">
              <w:t xml:space="preserve">Likelihood: Unlikely </w:t>
            </w:r>
          </w:p>
        </w:tc>
      </w:tr>
      <w:tr w:rsidRPr="007E54DC" w:rsidR="00867BCE" w:rsidTr="2CBED01F" w14:paraId="162ED4F7" w14:textId="77777777">
        <w:tc>
          <w:tcPr>
            <w:tcW w:w="556" w:type="pct"/>
          </w:tcPr>
          <w:p w:rsidRPr="007E54DC" w:rsidR="00867BCE" w:rsidP="00802E75" w:rsidRDefault="00867BCE" w14:paraId="251AC3E7" w14:textId="77777777">
            <w:pPr>
              <w:jc w:val="left"/>
            </w:pPr>
            <w:r w:rsidRPr="007E54DC">
              <w:rPr>
                <w:b/>
                <w:bCs/>
              </w:rPr>
              <w:t>Financial</w:t>
            </w:r>
            <w:r w:rsidRPr="007E54DC">
              <w:t>: Exchange rate risk</w:t>
            </w:r>
          </w:p>
        </w:tc>
        <w:tc>
          <w:tcPr>
            <w:tcW w:w="1526" w:type="pct"/>
          </w:tcPr>
          <w:p w:rsidRPr="007E54DC" w:rsidR="00867BCE" w:rsidP="00802E75" w:rsidRDefault="00867BCE" w14:paraId="0EDA3F1A" w14:textId="3E226EB3">
            <w:r w:rsidRPr="007E54DC">
              <w:rPr>
                <w:rFonts w:eastAsiaTheme="minorHAnsi"/>
              </w:rPr>
              <w:t>Fluctuations in exchange rates could cause a reduced sum of money to be available to projects. In the event of adverse currency movement, there will be reduced potential for project delivery</w:t>
            </w:r>
            <w:r w:rsidRPr="007E54DC">
              <w:rPr>
                <w:b/>
              </w:rPr>
              <w:t xml:space="preserve">. </w:t>
            </w:r>
            <w:r w:rsidRPr="007E54DC">
              <w:rPr>
                <w:rFonts w:eastAsiaTheme="minorHAnsi"/>
              </w:rPr>
              <w:t>While fluctuations and cycles regularly occur, it is worth noting that the pound is close to its lowest value against the dollar over the last 10 years. The pound has declined by 12% against the dollar since the original business case in 2021 ($1.39 in May 2021 compared to $1.23 as of 1</w:t>
            </w:r>
            <w:r w:rsidRPr="007E54DC">
              <w:rPr>
                <w:rFonts w:eastAsiaTheme="minorHAnsi"/>
                <w:vertAlign w:val="superscript"/>
              </w:rPr>
              <w:t>st</w:t>
            </w:r>
            <w:r w:rsidRPr="007E54DC">
              <w:rPr>
                <w:rFonts w:eastAsiaTheme="minorHAnsi"/>
              </w:rPr>
              <w:t xml:space="preserve"> August 2022).</w:t>
            </w:r>
          </w:p>
        </w:tc>
        <w:tc>
          <w:tcPr>
            <w:tcW w:w="2392" w:type="pct"/>
          </w:tcPr>
          <w:p w:rsidRPr="007E54DC" w:rsidR="00867BCE" w:rsidP="00802E75" w:rsidRDefault="00867BCE" w14:paraId="65B3752D" w14:textId="77777777">
            <w:pPr>
              <w:jc w:val="left"/>
            </w:pPr>
            <w:r w:rsidRPr="007E54DC">
              <w:t>GFCR team will monitor exchange rates and raise concerns if there is potential for a large loss of funds. There is possibility to adjust the timing of payments to avoid liquidity risk if necessary, however it should be noted that perfect matching may not be possible. GFCR will absorb some currency fluctuations and accept that the total amount the received may slightly differ.</w:t>
            </w:r>
          </w:p>
        </w:tc>
        <w:tc>
          <w:tcPr>
            <w:tcW w:w="526" w:type="pct"/>
            <w:shd w:val="clear" w:color="auto" w:fill="C5E0B3" w:themeFill="accent6" w:themeFillTint="66"/>
          </w:tcPr>
          <w:p w:rsidRPr="007E54DC" w:rsidR="00867BCE" w:rsidP="00802E75" w:rsidRDefault="00867BCE" w14:paraId="30A32A0C" w14:textId="77777777">
            <w:pPr>
              <w:jc w:val="left"/>
            </w:pPr>
            <w:r w:rsidRPr="007E54DC">
              <w:t>Impact: Moderate</w:t>
            </w:r>
          </w:p>
          <w:p w:rsidRPr="007E54DC" w:rsidR="00867BCE" w:rsidP="00802E75" w:rsidRDefault="00867BCE" w14:paraId="7E90DB02" w14:textId="77777777">
            <w:pPr>
              <w:jc w:val="left"/>
            </w:pPr>
            <w:r w:rsidRPr="007E54DC">
              <w:t>Likelihood: Very unlikely</w:t>
            </w:r>
          </w:p>
        </w:tc>
      </w:tr>
      <w:tr w:rsidRPr="007E54DC" w:rsidR="00867BCE" w:rsidTr="2CBED01F" w14:paraId="2E009A03" w14:textId="77777777">
        <w:tc>
          <w:tcPr>
            <w:tcW w:w="556" w:type="pct"/>
          </w:tcPr>
          <w:p w:rsidRPr="007E54DC" w:rsidR="00867BCE" w:rsidP="00802E75" w:rsidRDefault="00867BCE" w14:paraId="1DACB750" w14:textId="77777777">
            <w:pPr>
              <w:jc w:val="left"/>
            </w:pPr>
            <w:r w:rsidRPr="007E54DC">
              <w:rPr>
                <w:b/>
                <w:bCs/>
              </w:rPr>
              <w:t>Operational</w:t>
            </w:r>
            <w:r w:rsidRPr="007E54DC">
              <w:t>: Institutional knowledge loss risk</w:t>
            </w:r>
          </w:p>
        </w:tc>
        <w:tc>
          <w:tcPr>
            <w:tcW w:w="1526" w:type="pct"/>
          </w:tcPr>
          <w:p w:rsidRPr="007E54DC" w:rsidR="00867BCE" w:rsidP="00802E75" w:rsidRDefault="00867BCE" w14:paraId="060138A8" w14:textId="77777777">
            <w:r w:rsidRPr="007E54DC">
              <w:rPr>
                <w:rFonts w:eastAsia="Times New Roman"/>
              </w:rPr>
              <w:t xml:space="preserve">This risk reflects the employment status of the core members of the GFCR global team who until this point have been on rolling annual consultancy contracts with the UN. With the Fund growing, the GFCR is moving to a model of appointing permanent staff, which the UK supports, but this recruitment process risks some instability and loss of institutional knowledge. </w:t>
            </w:r>
          </w:p>
        </w:tc>
        <w:tc>
          <w:tcPr>
            <w:tcW w:w="2392" w:type="pct"/>
          </w:tcPr>
          <w:p w:rsidRPr="007E54DC" w:rsidR="00867BCE" w:rsidP="00802E75" w:rsidRDefault="00867BCE" w14:paraId="77E7282B" w14:textId="77777777">
            <w:pPr>
              <w:jc w:val="left"/>
            </w:pPr>
            <w:r w:rsidRPr="007E54DC">
              <w:t xml:space="preserve">The UK, through our role in the EB and supported by the other donors have pushed to ensure this recruitment is phased over a longer period than originally intended so that any loss of staff to the process is gradual and new team members have an appropriate opportunity to be onboarded. GFCR team hope that all currently contracted staff </w:t>
            </w:r>
            <w:proofErr w:type="gramStart"/>
            <w:r w:rsidRPr="007E54DC">
              <w:t>are able to</w:t>
            </w:r>
            <w:proofErr w:type="gramEnd"/>
            <w:r w:rsidRPr="007E54DC">
              <w:t xml:space="preserve"> retain their positions through this process.</w:t>
            </w:r>
          </w:p>
        </w:tc>
        <w:tc>
          <w:tcPr>
            <w:tcW w:w="526" w:type="pct"/>
            <w:shd w:val="clear" w:color="auto" w:fill="C5E0B3" w:themeFill="accent6" w:themeFillTint="66"/>
          </w:tcPr>
          <w:p w:rsidRPr="007E54DC" w:rsidR="00867BCE" w:rsidP="00802E75" w:rsidRDefault="00867BCE" w14:paraId="79FD0117" w14:textId="77777777">
            <w:pPr>
              <w:jc w:val="left"/>
            </w:pPr>
            <w:r w:rsidRPr="007E54DC">
              <w:t>Impact: Minor</w:t>
            </w:r>
          </w:p>
          <w:p w:rsidRPr="007E54DC" w:rsidR="00867BCE" w:rsidP="00802E75" w:rsidRDefault="00867BCE" w14:paraId="7A1FB8C7" w14:textId="77777777">
            <w:pPr>
              <w:keepNext/>
              <w:jc w:val="left"/>
            </w:pPr>
            <w:r w:rsidRPr="007E54DC">
              <w:t xml:space="preserve">Likelihood: Unlikely </w:t>
            </w:r>
          </w:p>
        </w:tc>
      </w:tr>
      <w:tr w:rsidRPr="007E54DC" w:rsidR="23A59346" w:rsidTr="2CBED01F" w14:paraId="3E386845" w14:textId="77777777">
        <w:trPr>
          <w:trHeight w:val="300"/>
        </w:trPr>
        <w:tc>
          <w:tcPr>
            <w:tcW w:w="1550" w:type="dxa"/>
          </w:tcPr>
          <w:p w:rsidRPr="007E54DC" w:rsidR="39C1AC2D" w:rsidP="23A59346" w:rsidRDefault="39C1AC2D" w14:paraId="569D3858" w14:textId="5C3FF865">
            <w:pPr>
              <w:jc w:val="left"/>
              <w:rPr>
                <w:b/>
                <w:bCs/>
              </w:rPr>
            </w:pPr>
            <w:r w:rsidRPr="007E54DC">
              <w:rPr>
                <w:b/>
                <w:bCs/>
              </w:rPr>
              <w:t>Operational:</w:t>
            </w:r>
            <w:r w:rsidRPr="007E54DC" w:rsidR="619F0741">
              <w:rPr>
                <w:b/>
                <w:bCs/>
              </w:rPr>
              <w:t xml:space="preserve"> limited local delivery capacity</w:t>
            </w:r>
          </w:p>
        </w:tc>
        <w:tc>
          <w:tcPr>
            <w:tcW w:w="4254" w:type="dxa"/>
          </w:tcPr>
          <w:p w:rsidRPr="007E54DC" w:rsidR="619F0741" w:rsidP="23A59346" w:rsidRDefault="619F0741" w14:paraId="00DC3562" w14:textId="1B33C954">
            <w:pPr>
              <w:rPr>
                <w:rFonts w:ascii="Calibri" w:hAnsi="Calibri" w:eastAsia="Calibri" w:cs="Calibri"/>
                <w:color w:val="000000" w:themeColor="text1"/>
                <w:sz w:val="22"/>
                <w:szCs w:val="22"/>
              </w:rPr>
            </w:pPr>
            <w:r w:rsidRPr="007E54DC">
              <w:rPr>
                <w:rFonts w:ascii="Calibri" w:hAnsi="Calibri" w:eastAsia="Calibri" w:cs="Calibri"/>
                <w:color w:val="000000" w:themeColor="text1"/>
              </w:rPr>
              <w:t xml:space="preserve">Scaling GFCR support coupled with the complex landscape of other funders working in these countries, presents a risk of funders competing for local delivery capacity. This could result in </w:t>
            </w:r>
            <w:r w:rsidRPr="007E54DC" w:rsidR="32F37D7D">
              <w:rPr>
                <w:rFonts w:ascii="Calibri" w:hAnsi="Calibri" w:eastAsia="Calibri" w:cs="Calibri"/>
                <w:color w:val="000000" w:themeColor="text1"/>
              </w:rPr>
              <w:t>programme delays or even de-</w:t>
            </w:r>
            <w:r w:rsidRPr="007E54DC" w:rsidR="29673297">
              <w:rPr>
                <w:rFonts w:ascii="Calibri" w:hAnsi="Calibri" w:eastAsia="Calibri" w:cs="Calibri"/>
                <w:color w:val="000000" w:themeColor="text1"/>
                <w:sz w:val="22"/>
                <w:szCs w:val="22"/>
              </w:rPr>
              <w:t>prioritisation</w:t>
            </w:r>
            <w:r w:rsidRPr="007E54DC" w:rsidR="32F37D7D">
              <w:rPr>
                <w:rFonts w:ascii="Calibri" w:hAnsi="Calibri" w:eastAsia="Calibri" w:cs="Calibri"/>
                <w:color w:val="000000" w:themeColor="text1"/>
                <w:sz w:val="22"/>
                <w:szCs w:val="22"/>
              </w:rPr>
              <w:t xml:space="preserve"> </w:t>
            </w:r>
          </w:p>
        </w:tc>
        <w:tc>
          <w:tcPr>
            <w:tcW w:w="6668" w:type="dxa"/>
          </w:tcPr>
          <w:p w:rsidRPr="007E54DC" w:rsidR="32F37D7D" w:rsidP="23A59346" w:rsidRDefault="32F37D7D" w14:paraId="38EA8288" w14:textId="34A4958A">
            <w:pPr>
              <w:jc w:val="left"/>
              <w:rPr>
                <w:rFonts w:ascii="Calibri" w:hAnsi="Calibri" w:eastAsia="Calibri" w:cs="Calibri"/>
                <w:color w:val="000000" w:themeColor="text1"/>
                <w:sz w:val="22"/>
                <w:szCs w:val="22"/>
              </w:rPr>
            </w:pPr>
            <w:r w:rsidRPr="007E54DC">
              <w:rPr>
                <w:rFonts w:ascii="Calibri" w:hAnsi="Calibri" w:eastAsia="Calibri" w:cs="Calibri"/>
              </w:rPr>
              <w:t>The UK will ensure a “One HMG” approach in project countries which will mitigate</w:t>
            </w:r>
            <w:r w:rsidRPr="007E54DC" w:rsidR="4186A94B">
              <w:rPr>
                <w:rFonts w:ascii="Calibri" w:hAnsi="Calibri" w:eastAsia="Calibri" w:cs="Calibri"/>
              </w:rPr>
              <w:t xml:space="preserve"> the</w:t>
            </w:r>
            <w:r w:rsidRPr="007E54DC">
              <w:rPr>
                <w:rFonts w:ascii="Calibri" w:hAnsi="Calibri" w:eastAsia="Calibri" w:cs="Calibri"/>
              </w:rPr>
              <w:t xml:space="preserve"> risk from UK funders. </w:t>
            </w:r>
            <w:r w:rsidRPr="007E54DC" w:rsidR="59176AB1">
              <w:rPr>
                <w:rFonts w:ascii="Calibri" w:hAnsi="Calibri" w:eastAsia="Calibri" w:cs="Calibri"/>
              </w:rPr>
              <w:t xml:space="preserve"> Current work is ongoing to refresh the </w:t>
            </w:r>
            <w:r w:rsidRPr="007E54DC" w:rsidR="63F4C74A">
              <w:rPr>
                <w:rFonts w:ascii="Calibri" w:hAnsi="Calibri" w:eastAsia="Calibri" w:cs="Calibri"/>
                <w:sz w:val="22"/>
                <w:szCs w:val="22"/>
              </w:rPr>
              <w:t>B</w:t>
            </w:r>
            <w:r w:rsidRPr="007E54DC" w:rsidR="59176AB1">
              <w:rPr>
                <w:rFonts w:ascii="Calibri" w:hAnsi="Calibri" w:eastAsia="Calibri" w:cs="Calibri"/>
              </w:rPr>
              <w:t xml:space="preserve">lue </w:t>
            </w:r>
            <w:r w:rsidRPr="007E54DC" w:rsidR="7D558F9B">
              <w:rPr>
                <w:rFonts w:ascii="Calibri" w:hAnsi="Calibri" w:eastAsia="Calibri" w:cs="Calibri"/>
                <w:sz w:val="22"/>
                <w:szCs w:val="22"/>
              </w:rPr>
              <w:t>P</w:t>
            </w:r>
            <w:r w:rsidRPr="007E54DC" w:rsidR="59176AB1">
              <w:rPr>
                <w:rFonts w:ascii="Calibri" w:hAnsi="Calibri" w:eastAsia="Calibri" w:cs="Calibri"/>
              </w:rPr>
              <w:t xml:space="preserve">lanet </w:t>
            </w:r>
            <w:r w:rsidRPr="007E54DC" w:rsidR="2900BCA1">
              <w:rPr>
                <w:rFonts w:ascii="Calibri" w:hAnsi="Calibri" w:eastAsia="Calibri" w:cs="Calibri"/>
                <w:sz w:val="22"/>
                <w:szCs w:val="22"/>
              </w:rPr>
              <w:t>F</w:t>
            </w:r>
            <w:r w:rsidRPr="007E54DC" w:rsidR="59176AB1">
              <w:rPr>
                <w:rFonts w:ascii="Calibri" w:hAnsi="Calibri" w:eastAsia="Calibri" w:cs="Calibri"/>
              </w:rPr>
              <w:t xml:space="preserve">und </w:t>
            </w:r>
            <w:r w:rsidRPr="007E54DC" w:rsidR="58DE95EC">
              <w:rPr>
                <w:rFonts w:ascii="Calibri" w:hAnsi="Calibri" w:eastAsia="Calibri" w:cs="Calibri"/>
                <w:sz w:val="22"/>
                <w:szCs w:val="22"/>
              </w:rPr>
              <w:t>T</w:t>
            </w:r>
            <w:r w:rsidRPr="007E54DC" w:rsidR="59176AB1">
              <w:rPr>
                <w:rFonts w:ascii="Calibri" w:hAnsi="Calibri" w:eastAsia="Calibri" w:cs="Calibri"/>
              </w:rPr>
              <w:t xml:space="preserve">heory of </w:t>
            </w:r>
            <w:r w:rsidRPr="007E54DC" w:rsidR="1D44523F">
              <w:rPr>
                <w:rFonts w:ascii="Calibri" w:hAnsi="Calibri" w:eastAsia="Calibri" w:cs="Calibri"/>
                <w:sz w:val="22"/>
                <w:szCs w:val="22"/>
              </w:rPr>
              <w:t>C</w:t>
            </w:r>
            <w:r w:rsidRPr="007E54DC" w:rsidR="59176AB1">
              <w:rPr>
                <w:rFonts w:ascii="Calibri" w:hAnsi="Calibri" w:eastAsia="Calibri" w:cs="Calibri"/>
              </w:rPr>
              <w:t xml:space="preserve">hange, this </w:t>
            </w:r>
            <w:r w:rsidRPr="007E54DC" w:rsidR="5171CB9E">
              <w:rPr>
                <w:rFonts w:ascii="Calibri" w:hAnsi="Calibri" w:eastAsia="Calibri" w:cs="Calibri"/>
              </w:rPr>
              <w:t>exercise</w:t>
            </w:r>
            <w:r w:rsidRPr="007E54DC" w:rsidR="59176AB1">
              <w:rPr>
                <w:rFonts w:ascii="Calibri" w:hAnsi="Calibri" w:eastAsia="Calibri" w:cs="Calibri"/>
              </w:rPr>
              <w:t xml:space="preserve"> will s</w:t>
            </w:r>
            <w:r w:rsidRPr="007E54DC">
              <w:rPr>
                <w:rFonts w:ascii="Calibri" w:hAnsi="Calibri" w:eastAsia="Calibri" w:cs="Calibri"/>
                <w:color w:val="000000" w:themeColor="text1"/>
              </w:rPr>
              <w:t>trengthen</w:t>
            </w:r>
            <w:r w:rsidRPr="007E54DC" w:rsidR="069224E1">
              <w:rPr>
                <w:rFonts w:ascii="Calibri" w:hAnsi="Calibri" w:eastAsia="Calibri" w:cs="Calibri"/>
                <w:color w:val="000000" w:themeColor="text1"/>
              </w:rPr>
              <w:t xml:space="preserve"> strategic </w:t>
            </w:r>
            <w:r w:rsidRPr="007E54DC">
              <w:rPr>
                <w:rFonts w:ascii="Calibri" w:hAnsi="Calibri" w:eastAsia="Calibri" w:cs="Calibri"/>
                <w:color w:val="000000" w:themeColor="text1"/>
              </w:rPr>
              <w:t xml:space="preserve">links between the </w:t>
            </w:r>
            <w:r w:rsidRPr="007E54DC" w:rsidR="3F466CB6">
              <w:rPr>
                <w:rFonts w:ascii="Calibri" w:hAnsi="Calibri" w:eastAsia="Calibri" w:cs="Calibri"/>
                <w:color w:val="000000" w:themeColor="text1"/>
              </w:rPr>
              <w:t>programmes and</w:t>
            </w:r>
            <w:r w:rsidRPr="007E54DC" w:rsidR="4322B320">
              <w:rPr>
                <w:rFonts w:ascii="Calibri" w:hAnsi="Calibri" w:eastAsia="Calibri" w:cs="Calibri"/>
                <w:color w:val="000000" w:themeColor="text1"/>
              </w:rPr>
              <w:t xml:space="preserve"> </w:t>
            </w:r>
            <w:r w:rsidRPr="007E54DC">
              <w:rPr>
                <w:rFonts w:ascii="Calibri" w:hAnsi="Calibri" w:eastAsia="Calibri" w:cs="Calibri"/>
                <w:color w:val="000000" w:themeColor="text1"/>
              </w:rPr>
              <w:t>will therefore be valuable in terms of preventing duplication</w:t>
            </w:r>
            <w:r w:rsidRPr="007E54DC" w:rsidR="40AF38E8">
              <w:rPr>
                <w:rFonts w:ascii="Calibri" w:hAnsi="Calibri" w:eastAsia="Calibri" w:cs="Calibri"/>
                <w:color w:val="000000" w:themeColor="text1"/>
              </w:rPr>
              <w:t>,</w:t>
            </w:r>
            <w:r w:rsidRPr="007E54DC">
              <w:rPr>
                <w:rFonts w:ascii="Calibri" w:hAnsi="Calibri" w:eastAsia="Calibri" w:cs="Calibri"/>
                <w:color w:val="000000" w:themeColor="text1"/>
              </w:rPr>
              <w:t xml:space="preserve"> enhancing </w:t>
            </w:r>
            <w:proofErr w:type="gramStart"/>
            <w:r w:rsidRPr="007E54DC">
              <w:rPr>
                <w:rFonts w:ascii="Calibri" w:hAnsi="Calibri" w:eastAsia="Calibri" w:cs="Calibri"/>
                <w:color w:val="000000" w:themeColor="text1"/>
              </w:rPr>
              <w:t>impact</w:t>
            </w:r>
            <w:proofErr w:type="gramEnd"/>
            <w:r w:rsidRPr="007E54DC" w:rsidR="13211435">
              <w:rPr>
                <w:rFonts w:ascii="Calibri" w:hAnsi="Calibri" w:eastAsia="Calibri" w:cs="Calibri"/>
                <w:color w:val="000000" w:themeColor="text1"/>
              </w:rPr>
              <w:t xml:space="preserve"> and ensuring </w:t>
            </w:r>
            <w:r w:rsidRPr="007E54DC" w:rsidR="5BDD5A89">
              <w:rPr>
                <w:rFonts w:ascii="Calibri" w:hAnsi="Calibri" w:eastAsia="Calibri" w:cs="Calibri"/>
                <w:color w:val="000000" w:themeColor="text1"/>
              </w:rPr>
              <w:t xml:space="preserve">local delivery </w:t>
            </w:r>
            <w:r w:rsidRPr="007E54DC" w:rsidR="13211435">
              <w:rPr>
                <w:rFonts w:ascii="Calibri" w:hAnsi="Calibri" w:eastAsia="Calibri" w:cs="Calibri"/>
                <w:color w:val="000000" w:themeColor="text1"/>
              </w:rPr>
              <w:t>capacity</w:t>
            </w:r>
            <w:r w:rsidRPr="007E54DC" w:rsidR="44E0D081">
              <w:rPr>
                <w:rFonts w:ascii="Calibri" w:hAnsi="Calibri" w:eastAsia="Calibri" w:cs="Calibri"/>
                <w:color w:val="000000" w:themeColor="text1"/>
              </w:rPr>
              <w:t>.</w:t>
            </w:r>
            <w:r w:rsidRPr="007E54DC" w:rsidR="44E0D081">
              <w:rPr>
                <w:rFonts w:ascii="Calibri" w:hAnsi="Calibri" w:eastAsia="Calibri" w:cs="Calibri"/>
                <w:color w:val="000000" w:themeColor="text1"/>
                <w:sz w:val="22"/>
                <w:szCs w:val="22"/>
              </w:rPr>
              <w:t xml:space="preserve"> </w:t>
            </w:r>
          </w:p>
          <w:p w:rsidRPr="007E54DC" w:rsidR="15061A46" w:rsidP="23A59346" w:rsidRDefault="15061A46" w14:paraId="5EBC54B8" w14:textId="4DA6BC80">
            <w:pPr>
              <w:jc w:val="left"/>
              <w:rPr>
                <w:rFonts w:ascii="Calibri" w:hAnsi="Calibri" w:eastAsia="Calibri" w:cs="Calibri"/>
                <w:color w:val="000000" w:themeColor="text1"/>
                <w:sz w:val="22"/>
                <w:szCs w:val="22"/>
              </w:rPr>
            </w:pPr>
            <w:r w:rsidRPr="007E54DC">
              <w:rPr>
                <w:rFonts w:ascii="Calibri" w:hAnsi="Calibri" w:eastAsia="Calibri" w:cs="Calibri"/>
                <w:color w:val="000000" w:themeColor="text1"/>
              </w:rPr>
              <w:t xml:space="preserve">Where appropriate Defra will raise concerns </w:t>
            </w:r>
            <w:r w:rsidRPr="007E54DC" w:rsidR="4C6AB469">
              <w:rPr>
                <w:rFonts w:ascii="Calibri" w:hAnsi="Calibri" w:eastAsia="Calibri" w:cs="Calibri"/>
                <w:color w:val="000000" w:themeColor="text1"/>
              </w:rPr>
              <w:t>and encourage discuss</w:t>
            </w:r>
            <w:r w:rsidRPr="007E54DC" w:rsidR="682D3B7B">
              <w:rPr>
                <w:rFonts w:ascii="Calibri" w:hAnsi="Calibri" w:eastAsia="Calibri" w:cs="Calibri"/>
                <w:color w:val="000000" w:themeColor="text1"/>
              </w:rPr>
              <w:t>ion regarding this risk at EB meetings</w:t>
            </w:r>
            <w:r w:rsidRPr="007E54DC" w:rsidR="719ED6F3">
              <w:rPr>
                <w:rFonts w:ascii="Calibri" w:hAnsi="Calibri" w:eastAsia="Calibri" w:cs="Calibri"/>
                <w:color w:val="000000" w:themeColor="text1"/>
                <w:sz w:val="22"/>
                <w:szCs w:val="22"/>
              </w:rPr>
              <w:t>.</w:t>
            </w:r>
          </w:p>
        </w:tc>
        <w:tc>
          <w:tcPr>
            <w:tcW w:w="1466" w:type="dxa"/>
            <w:shd w:val="clear" w:color="auto" w:fill="C5E0B3" w:themeFill="accent6" w:themeFillTint="66"/>
          </w:tcPr>
          <w:p w:rsidRPr="007E54DC" w:rsidR="682D3B7B" w:rsidP="23A59346" w:rsidRDefault="682D3B7B" w14:paraId="5260996D" w14:textId="77777777">
            <w:pPr>
              <w:jc w:val="left"/>
            </w:pPr>
            <w:r w:rsidRPr="007E54DC">
              <w:t>Impact: Moderate</w:t>
            </w:r>
          </w:p>
          <w:p w:rsidRPr="007E54DC" w:rsidR="682D3B7B" w:rsidP="23A59346" w:rsidRDefault="682D3B7B" w14:paraId="41EEDEA2" w14:textId="0C21945A">
            <w:pPr>
              <w:keepNext/>
              <w:jc w:val="left"/>
            </w:pPr>
            <w:r w:rsidRPr="007E54DC">
              <w:t>Likelihood: Unlikely</w:t>
            </w:r>
          </w:p>
          <w:p w:rsidRPr="007E54DC" w:rsidR="23A59346" w:rsidP="23A59346" w:rsidRDefault="23A59346" w14:paraId="386128D2" w14:textId="085EC091">
            <w:pPr>
              <w:jc w:val="left"/>
            </w:pPr>
          </w:p>
          <w:p w:rsidRPr="007E54DC" w:rsidR="23A59346" w:rsidP="23A59346" w:rsidRDefault="23A59346" w14:paraId="459FBFC7" w14:textId="3D252950">
            <w:pPr>
              <w:jc w:val="left"/>
            </w:pPr>
          </w:p>
        </w:tc>
      </w:tr>
    </w:tbl>
    <w:p w:rsidR="00867BCE" w:rsidP="00867BCE" w:rsidRDefault="00867BCE" w14:paraId="68213855" w14:textId="7CF05330">
      <w:pPr>
        <w:pStyle w:val="Caption"/>
        <w:sectPr w:rsidR="00867BCE" w:rsidSect="007F4A80">
          <w:pgSz w:w="16838" w:h="11906" w:orient="landscape"/>
          <w:pgMar w:top="1440" w:right="1440" w:bottom="1440" w:left="1440" w:header="709" w:footer="709" w:gutter="0"/>
          <w:cols w:space="708"/>
          <w:docGrid w:linePitch="360"/>
        </w:sectPr>
      </w:pPr>
      <w:bookmarkStart w:name="_Toc132104925" w:id="93"/>
      <w:r w:rsidRPr="007E54DC">
        <w:t>Table</w:t>
      </w:r>
      <w:r w:rsidR="000473E7">
        <w:t xml:space="preserve"> </w:t>
      </w:r>
      <w:r w:rsidRPr="007E54DC">
        <w:t xml:space="preserve"> </w:t>
      </w:r>
      <w:r w:rsidRPr="007E54DC">
        <w:fldChar w:fldCharType="begin"/>
      </w:r>
      <w:r w:rsidRPr="007E54DC">
        <w:instrText>SEQ Table \* ARABIC</w:instrText>
      </w:r>
      <w:r w:rsidR="0089739D">
        <w:fldChar w:fldCharType="separate"/>
      </w:r>
      <w:r w:rsidR="00B9356F">
        <w:rPr>
          <w:noProof/>
        </w:rPr>
        <w:t>15</w:t>
      </w:r>
      <w:r w:rsidRPr="007E54DC">
        <w:fldChar w:fldCharType="end"/>
      </w:r>
      <w:r w:rsidRPr="007E54DC">
        <w:rPr>
          <w:noProof/>
        </w:rPr>
        <w:t xml:space="preserve">  - Detail of risks and mitigating action</w:t>
      </w:r>
      <w:bookmarkEnd w:id="93"/>
    </w:p>
    <w:p w:rsidR="00867BCE" w:rsidP="0022760D" w:rsidRDefault="00867BCE" w14:paraId="243C2F06" w14:textId="77777777">
      <w:pPr>
        <w:pStyle w:val="Heading2"/>
      </w:pPr>
    </w:p>
    <w:p w:rsidR="00D94471" w:rsidP="0022760D" w:rsidRDefault="00D94471" w14:paraId="6EE19F8C" w14:textId="75258ABA" w14:noSpellErr="1">
      <w:pPr>
        <w:pStyle w:val="Heading2"/>
        <w:rPr/>
      </w:pPr>
      <w:bookmarkStart w:name="_Toc221635079" w:id="33098623"/>
      <w:r w:rsidR="00D94471">
        <w:rPr/>
        <w:t xml:space="preserve">Annex </w:t>
      </w:r>
      <w:r w:rsidR="7208477D">
        <w:rPr>
          <w:b w:val="0"/>
          <w:bCs w:val="0"/>
        </w:rPr>
        <w:t>H</w:t>
      </w:r>
      <w:r w:rsidR="00D94471">
        <w:rPr/>
        <w:t xml:space="preserve"> – GFCR Governance Structures and Actors</w:t>
      </w:r>
      <w:bookmarkEnd w:id="33098623"/>
    </w:p>
    <w:p w:rsidR="00D07146" w:rsidP="00D07146" w:rsidRDefault="00D94471" w14:paraId="01E93ADF" w14:textId="77777777">
      <w:pPr>
        <w:keepNext/>
        <w:spacing w:after="0"/>
        <w:jc w:val="center"/>
      </w:pPr>
      <w:r w:rsidRPr="0080206C">
        <w:rPr>
          <w:noProof/>
        </w:rPr>
        <w:drawing>
          <wp:inline distT="0" distB="0" distL="0" distR="0" wp14:anchorId="0DF6CBED" wp14:editId="574BDC82">
            <wp:extent cx="5731510" cy="5098691"/>
            <wp:effectExtent l="0" t="0" r="2540" b="6985"/>
            <wp:docPr id="10802186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31510" cy="5098691"/>
                    </a:xfrm>
                    <a:prstGeom prst="rect">
                      <a:avLst/>
                    </a:prstGeom>
                  </pic:spPr>
                </pic:pic>
              </a:graphicData>
            </a:graphic>
          </wp:inline>
        </w:drawing>
      </w:r>
    </w:p>
    <w:p w:rsidR="007D0B84" w:rsidP="00D07146" w:rsidRDefault="00D07146" w14:paraId="4CDF406C" w14:textId="6F4869B2">
      <w:pPr>
        <w:pStyle w:val="Caption"/>
      </w:pPr>
      <w:bookmarkStart w:name="_Toc121907673" w:id="95"/>
      <w:r>
        <w:t xml:space="preserve">Figure </w:t>
      </w:r>
      <w:r>
        <w:fldChar w:fldCharType="begin"/>
      </w:r>
      <w:r>
        <w:instrText>SEQ Figure \* ARABIC</w:instrText>
      </w:r>
      <w:r>
        <w:fldChar w:fldCharType="separate"/>
      </w:r>
      <w:r w:rsidR="00B9356F">
        <w:rPr>
          <w:noProof/>
        </w:rPr>
        <w:t>5</w:t>
      </w:r>
      <w:r>
        <w:fldChar w:fldCharType="end"/>
      </w:r>
      <w:r>
        <w:t xml:space="preserve"> - </w:t>
      </w:r>
      <w:r w:rsidRPr="00913767">
        <w:t>Governance structure for GFCR</w:t>
      </w:r>
      <w:bookmarkEnd w:id="95"/>
    </w:p>
    <w:p w:rsidR="00D07146" w:rsidP="00D07146" w:rsidRDefault="007D0B84" w14:paraId="0650F4FA" w14:textId="77777777">
      <w:pPr>
        <w:keepNext/>
        <w:spacing w:after="0"/>
        <w:jc w:val="center"/>
      </w:pPr>
      <w:r>
        <w:rPr>
          <w:noProof/>
        </w:rPr>
        <w:drawing>
          <wp:inline distT="0" distB="0" distL="0" distR="0" wp14:anchorId="29F82973" wp14:editId="305AEAA8">
            <wp:extent cx="5200000" cy="2209524"/>
            <wp:effectExtent l="0" t="0" r="127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00000" cy="2209524"/>
                    </a:xfrm>
                    <a:prstGeom prst="rect">
                      <a:avLst/>
                    </a:prstGeom>
                  </pic:spPr>
                </pic:pic>
              </a:graphicData>
            </a:graphic>
          </wp:inline>
        </w:drawing>
      </w:r>
    </w:p>
    <w:p w:rsidR="007D0B84" w:rsidP="00D07146" w:rsidRDefault="00D07146" w14:paraId="3D3F1857" w14:textId="0A1DE779">
      <w:pPr>
        <w:pStyle w:val="Caption"/>
      </w:pPr>
      <w:bookmarkStart w:name="_Toc121907674" w:id="96"/>
      <w:r>
        <w:t xml:space="preserve">Figure </w:t>
      </w:r>
      <w:r>
        <w:fldChar w:fldCharType="begin"/>
      </w:r>
      <w:r>
        <w:instrText>SEQ Figure \* ARABIC</w:instrText>
      </w:r>
      <w:r>
        <w:fldChar w:fldCharType="separate"/>
      </w:r>
      <w:r w:rsidR="00B9356F">
        <w:rPr>
          <w:noProof/>
        </w:rPr>
        <w:t>6</w:t>
      </w:r>
      <w:r>
        <w:fldChar w:fldCharType="end"/>
      </w:r>
      <w:r>
        <w:t xml:space="preserve"> </w:t>
      </w:r>
      <w:r w:rsidRPr="00813815">
        <w:t>- Makeup of the Executive Board</w:t>
      </w:r>
      <w:bookmarkEnd w:id="96"/>
    </w:p>
    <w:p w:rsidR="007F4A80" w:rsidP="0022760D" w:rsidRDefault="007F4A80" w14:paraId="0D1D4C96" w14:textId="77777777">
      <w:pPr>
        <w:pStyle w:val="Heading2"/>
      </w:pPr>
    </w:p>
    <w:p w:rsidR="0010742A" w:rsidP="0010742A" w:rsidRDefault="0010742A" w14:paraId="513F9B34" w14:textId="77777777"/>
    <w:p w:rsidR="003B6DC5" w:rsidP="6EF7DA90" w:rsidRDefault="003B6DC5" w14:paraId="5CBF376E" w14:textId="0BE7AD53" w14:noSpellErr="1">
      <w:pPr>
        <w:pStyle w:val="Heading2"/>
        <w:rPr>
          <w:rStyle w:val="Hyperlink"/>
        </w:rPr>
      </w:pPr>
      <w:bookmarkStart w:name="_Toc909389942" w:id="1788103354"/>
      <w:r w:rsidR="003B6DC5">
        <w:rPr/>
        <w:t xml:space="preserve">Annex </w:t>
      </w:r>
      <w:r w:rsidR="3AD2785C">
        <w:rPr>
          <w:b w:val="0"/>
          <w:bCs w:val="0"/>
        </w:rPr>
        <w:t>I</w:t>
      </w:r>
      <w:r w:rsidR="003B6DC5">
        <w:rPr/>
        <w:t xml:space="preserve">– Resourcing Plan: </w:t>
      </w:r>
      <w:hyperlink r:id="Rb1ff633da8264377">
        <w:r w:rsidRPr="6EF7DA90" w:rsidR="003B6DC5">
          <w:rPr>
            <w:rStyle w:val="Hyperlink"/>
          </w:rPr>
          <w:t xml:space="preserve">FTE Resourcing Plan - Annex </w:t>
        </w:r>
        <w:r w:rsidRPr="6EF7DA90" w:rsidR="00947D53">
          <w:rPr>
            <w:rStyle w:val="Hyperlink"/>
          </w:rPr>
          <w:t>I</w:t>
        </w:r>
        <w:r w:rsidRPr="6EF7DA90" w:rsidR="003B6DC5">
          <w:rPr>
            <w:rStyle w:val="Hyperlink"/>
          </w:rPr>
          <w:t>.xlsx (sharepoint.com)</w:t>
        </w:r>
      </w:hyperlink>
      <w:bookmarkEnd w:id="1788103354"/>
    </w:p>
    <w:p w:rsidR="003B6DC5" w:rsidP="003B6DC5" w:rsidRDefault="003B6DC5" w14:paraId="2EBE5D17" w14:textId="7FEEED6B">
      <w:pPr>
        <w:rPr/>
      </w:pPr>
      <w:bookmarkStart w:name="_Toc346597776" w:id="1690407478"/>
      <w:r w:rsidRPr="6EF7DA90" w:rsidR="003B6DC5">
        <w:rPr>
          <w:rStyle w:val="Heading2Char"/>
          <w:rFonts w:eastAsia="游明朝" w:eastAsiaTheme="minorEastAsia"/>
        </w:rPr>
        <w:t xml:space="preserve">Annex </w:t>
      </w:r>
      <w:r w:rsidRPr="6EF7DA90" w:rsidR="7CA7DF8B">
        <w:rPr>
          <w:rStyle w:val="Heading2Char"/>
          <w:rFonts w:eastAsia="游明朝" w:eastAsiaTheme="minorEastAsia"/>
          <w:b w:val="0"/>
          <w:bCs w:val="0"/>
        </w:rPr>
        <w:t>J</w:t>
      </w:r>
      <w:r w:rsidRPr="6EF7DA90" w:rsidR="003B6DC5">
        <w:rPr>
          <w:rStyle w:val="Heading2Char"/>
          <w:rFonts w:eastAsia="游明朝" w:eastAsiaTheme="minorEastAsia"/>
        </w:rPr>
        <w:t xml:space="preserve">– </w:t>
      </w:r>
      <w:r w:rsidRPr="6EF7DA90" w:rsidR="00952594">
        <w:rPr>
          <w:rStyle w:val="Heading2Char"/>
          <w:rFonts w:eastAsia="游明朝" w:eastAsiaTheme="minorEastAsia"/>
        </w:rPr>
        <w:t>LogFrame</w:t>
      </w:r>
      <w:r w:rsidRPr="6EF7DA90" w:rsidR="00B329B2">
        <w:rPr>
          <w:rStyle w:val="Heading2Char"/>
          <w:rFonts w:eastAsia="游明朝" w:eastAsiaTheme="minorEastAsia"/>
        </w:rPr>
        <w:t xml:space="preserve"> (Benefits register)</w:t>
      </w:r>
      <w:bookmarkEnd w:id="1690407478"/>
      <w:r w:rsidR="003B6DC5">
        <w:rPr/>
        <w:t xml:space="preserve">: </w:t>
      </w:r>
      <w:hyperlink r:id="R3516d1dcccca4e60">
        <w:r w:rsidRPr="6EF7DA90" w:rsidR="003B6DC5">
          <w:rPr>
            <w:rStyle w:val="Hyperlink"/>
          </w:rPr>
          <w:t xml:space="preserve">Defra GFCR </w:t>
        </w:r>
        <w:r w:rsidRPr="6EF7DA90" w:rsidR="00952594">
          <w:rPr>
            <w:rStyle w:val="Hyperlink"/>
          </w:rPr>
          <w:t>LogFrame</w:t>
        </w:r>
        <w:r w:rsidRPr="6EF7DA90" w:rsidR="003B6DC5">
          <w:rPr>
            <w:rStyle w:val="Hyperlink"/>
          </w:rPr>
          <w:t xml:space="preserve"> .xlsx (sharepoint.com)</w:t>
        </w:r>
      </w:hyperlink>
    </w:p>
    <w:p w:rsidRPr="006E055F" w:rsidR="006E055F" w:rsidP="006E055F" w:rsidRDefault="006E055F" w14:paraId="64253D26" w14:textId="18728DB3">
      <w:pPr>
        <w:rPr>
          <w:rFonts w:eastAsia="Calibri"/>
          <w:color w:val="000000" w:themeColor="text1"/>
        </w:rPr>
      </w:pPr>
      <w:bookmarkStart w:name="_Annex_C_–" w:id="99"/>
      <w:bookmarkStart w:name="_Annex_D_–" w:id="100"/>
      <w:bookmarkStart w:name="_Annex_E_–" w:id="101"/>
      <w:bookmarkEnd w:id="99"/>
      <w:bookmarkEnd w:id="100"/>
      <w:bookmarkEnd w:id="101"/>
      <w:r w:rsidRPr="006E055F">
        <w:rPr>
          <w:rFonts w:eastAsia="Calibri"/>
          <w:noProof/>
          <w:color w:val="000000" w:themeColor="text1"/>
        </w:rPr>
        <mc:AlternateContent>
          <mc:Choice Requires="wps">
            <w:drawing>
              <wp:inline distT="0" distB="0" distL="0" distR="0" wp14:anchorId="7DB2D155" wp14:editId="52164E06">
                <wp:extent cx="5610225" cy="1404620"/>
                <wp:effectExtent l="0" t="0" r="28575"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04620"/>
                        </a:xfrm>
                        <a:prstGeom prst="rect">
                          <a:avLst/>
                        </a:prstGeom>
                        <a:solidFill>
                          <a:srgbClr val="FFFFFF"/>
                        </a:solidFill>
                        <a:ln w="9525">
                          <a:solidFill>
                            <a:srgbClr val="000000"/>
                          </a:solidFill>
                          <a:miter lim="800000"/>
                          <a:headEnd/>
                          <a:tailEnd/>
                        </a:ln>
                      </wps:spPr>
                      <wps:txbx>
                        <w:txbxContent>
                          <w:p w:rsidRPr="00EB0647" w:rsidR="006E055F" w:rsidP="006E055F" w:rsidRDefault="006E055F" w14:paraId="6530309A" w14:textId="552CD674">
                            <w:pPr>
                              <w:rPr>
                                <w:rFonts w:cstheme="minorHAnsi"/>
                                <w:sz w:val="20"/>
                                <w:szCs w:val="20"/>
                                <w:u w:val="single"/>
                              </w:rPr>
                            </w:pPr>
                            <w:r w:rsidRPr="00EB0647">
                              <w:rPr>
                                <w:rFonts w:cstheme="minorHAnsi"/>
                                <w:sz w:val="20"/>
                                <w:szCs w:val="20"/>
                                <w:u w:val="single"/>
                              </w:rPr>
                              <w:t>For RED and Investment Committee Approvals</w:t>
                            </w:r>
                          </w:p>
                          <w:p w:rsidRPr="006E055F" w:rsidR="006E055F" w:rsidP="006E055F" w:rsidRDefault="006E055F" w14:paraId="04C575B1" w14:textId="77777777">
                            <w:pPr>
                              <w:rPr>
                                <w:rFonts w:cstheme="minorHAnsi"/>
                                <w:sz w:val="20"/>
                                <w:szCs w:val="20"/>
                              </w:rPr>
                            </w:pPr>
                            <w:r w:rsidRPr="006E055F">
                              <w:rPr>
                                <w:rFonts w:cstheme="minorHAnsi"/>
                                <w:sz w:val="20"/>
                                <w:szCs w:val="20"/>
                              </w:rPr>
                              <w:t>Documents must include (updated versions where applicable):</w:t>
                            </w:r>
                          </w:p>
                          <w:p w:rsidRPr="00EB0647" w:rsidR="006E055F" w:rsidP="006628DE" w:rsidRDefault="006E055F" w14:paraId="2640B070" w14:textId="77777777">
                            <w:pPr>
                              <w:pStyle w:val="ListParagraph"/>
                              <w:numPr>
                                <w:ilvl w:val="0"/>
                                <w:numId w:val="22"/>
                              </w:numPr>
                              <w:rPr>
                                <w:rFonts w:cstheme="minorHAnsi"/>
                                <w:sz w:val="20"/>
                                <w:szCs w:val="20"/>
                              </w:rPr>
                            </w:pPr>
                            <w:r w:rsidRPr="00EB0647">
                              <w:rPr>
                                <w:rFonts w:cstheme="minorHAnsi"/>
                                <w:sz w:val="20"/>
                                <w:szCs w:val="20"/>
                              </w:rPr>
                              <w:t>Red Team &amp; Investment Committee Coversheet (final version)</w:t>
                            </w:r>
                          </w:p>
                          <w:p w:rsidR="009E4227" w:rsidP="006628DE" w:rsidRDefault="006E055F" w14:paraId="4CDB57C5" w14:textId="77777777">
                            <w:pPr>
                              <w:pStyle w:val="ListParagraph"/>
                              <w:numPr>
                                <w:ilvl w:val="0"/>
                                <w:numId w:val="22"/>
                              </w:numPr>
                              <w:rPr>
                                <w:rFonts w:cstheme="minorHAnsi"/>
                                <w:sz w:val="20"/>
                                <w:szCs w:val="20"/>
                              </w:rPr>
                            </w:pPr>
                            <w:r w:rsidRPr="009E4227">
                              <w:rPr>
                                <w:rFonts w:cstheme="minorHAnsi"/>
                                <w:sz w:val="20"/>
                                <w:szCs w:val="20"/>
                              </w:rPr>
                              <w:t xml:space="preserve">Final version of the original Business case </w:t>
                            </w:r>
                          </w:p>
                          <w:p w:rsidR="009E4227" w:rsidP="006628DE" w:rsidRDefault="0089739D" w14:paraId="7197E1A5" w14:textId="7F0F986D">
                            <w:pPr>
                              <w:pStyle w:val="ListParagraph"/>
                              <w:numPr>
                                <w:ilvl w:val="0"/>
                                <w:numId w:val="22"/>
                              </w:numPr>
                              <w:rPr>
                                <w:rFonts w:cstheme="minorHAnsi"/>
                                <w:sz w:val="20"/>
                                <w:szCs w:val="20"/>
                              </w:rPr>
                            </w:pPr>
                            <w:hyperlink w:history="1" r:id="rId32">
                              <w:r w:rsidRPr="009E4227" w:rsidR="006E055F">
                                <w:rPr>
                                  <w:rFonts w:cstheme="minorHAnsi"/>
                                  <w:sz w:val="20"/>
                                  <w:szCs w:val="20"/>
                                </w:rPr>
                                <w:t>Risk Potential Assessment (RPA)</w:t>
                              </w:r>
                            </w:hyperlink>
                            <w:r w:rsidRPr="009E4227" w:rsidR="006E055F">
                              <w:rPr>
                                <w:rFonts w:cstheme="minorHAnsi"/>
                                <w:sz w:val="20"/>
                                <w:szCs w:val="20"/>
                              </w:rPr>
                              <w:t xml:space="preserve"> – this must be reviewed &amp; validated by the Defra Portfolio Assurance Team prior to submission</w:t>
                            </w:r>
                          </w:p>
                          <w:p w:rsidR="009E4227" w:rsidP="006628DE" w:rsidRDefault="0089739D" w14:paraId="6CBB6A5A" w14:textId="14578376">
                            <w:pPr>
                              <w:pStyle w:val="ListParagraph"/>
                              <w:numPr>
                                <w:ilvl w:val="0"/>
                                <w:numId w:val="22"/>
                              </w:numPr>
                              <w:rPr>
                                <w:rFonts w:cstheme="minorHAnsi"/>
                                <w:sz w:val="20"/>
                                <w:szCs w:val="20"/>
                              </w:rPr>
                            </w:pPr>
                            <w:hyperlink w:history="1" r:id="rId33">
                              <w:r w:rsidRPr="009E4227" w:rsidR="006E055F">
                                <w:rPr>
                                  <w:rFonts w:cstheme="minorHAnsi"/>
                                  <w:sz w:val="20"/>
                                  <w:szCs w:val="20"/>
                                </w:rPr>
                                <w:t>Integrated Assurance and Approval Plan (IAAP</w:t>
                              </w:r>
                            </w:hyperlink>
                            <w:r w:rsidRPr="009E4227" w:rsidR="006E055F">
                              <w:rPr>
                                <w:rFonts w:cstheme="minorHAnsi"/>
                                <w:sz w:val="20"/>
                                <w:szCs w:val="20"/>
                              </w:rPr>
                              <w:t>) – this must be reviewed &amp; validated by the Defra Portfolio Assurance Team prior to submission</w:t>
                            </w:r>
                          </w:p>
                          <w:p w:rsidR="009E4227" w:rsidP="006628DE" w:rsidRDefault="0089739D" w14:paraId="0E9B6812" w14:textId="7C5B1510">
                            <w:pPr>
                              <w:pStyle w:val="ListParagraph"/>
                              <w:numPr>
                                <w:ilvl w:val="0"/>
                                <w:numId w:val="22"/>
                              </w:numPr>
                              <w:rPr>
                                <w:rFonts w:cstheme="minorHAnsi"/>
                                <w:sz w:val="20"/>
                                <w:szCs w:val="20"/>
                              </w:rPr>
                            </w:pPr>
                            <w:hyperlink w:history="1" r:id="rId34">
                              <w:r w:rsidRPr="009E4227" w:rsidR="006E055F">
                                <w:rPr>
                                  <w:rStyle w:val="ListParagraphChar"/>
                                  <w:rFonts w:asciiTheme="minorHAnsi" w:hAnsiTheme="minorHAnsi" w:eastAsiaTheme="minorHAnsi" w:cstheme="minorHAnsi"/>
                                  <w:sz w:val="20"/>
                                  <w:szCs w:val="20"/>
                                </w:rPr>
                                <w:t>Accounting Officer (AO)</w:t>
                              </w:r>
                            </w:hyperlink>
                            <w:r w:rsidRPr="009E4227" w:rsidR="006E055F">
                              <w:rPr>
                                <w:rFonts w:cstheme="minorHAnsi"/>
                                <w:sz w:val="20"/>
                                <w:szCs w:val="20"/>
                              </w:rPr>
                              <w:t xml:space="preserve"> test document – this must be reviewed and signed off by your FBP prior to submission.</w:t>
                            </w:r>
                          </w:p>
                          <w:p w:rsidR="009E4227" w:rsidP="006628DE" w:rsidRDefault="006E055F" w14:paraId="11DA65AE" w14:textId="77777777">
                            <w:pPr>
                              <w:pStyle w:val="ListParagraph"/>
                              <w:numPr>
                                <w:ilvl w:val="0"/>
                                <w:numId w:val="22"/>
                              </w:numPr>
                              <w:rPr>
                                <w:rFonts w:cstheme="minorHAnsi"/>
                                <w:sz w:val="20"/>
                                <w:szCs w:val="20"/>
                              </w:rPr>
                            </w:pPr>
                            <w:r w:rsidRPr="009E4227">
                              <w:rPr>
                                <w:rFonts w:cstheme="minorHAnsi"/>
                                <w:sz w:val="20"/>
                                <w:szCs w:val="20"/>
                              </w:rPr>
                              <w:t>Benefits Plan (if not included in the Business case)</w:t>
                            </w:r>
                          </w:p>
                          <w:p w:rsidR="009E4227" w:rsidP="006628DE" w:rsidRDefault="006E055F" w14:paraId="3DD8A10D" w14:textId="77777777">
                            <w:pPr>
                              <w:pStyle w:val="ListParagraph"/>
                              <w:numPr>
                                <w:ilvl w:val="0"/>
                                <w:numId w:val="22"/>
                              </w:numPr>
                              <w:rPr>
                                <w:rFonts w:cstheme="minorHAnsi"/>
                                <w:sz w:val="20"/>
                                <w:szCs w:val="20"/>
                              </w:rPr>
                            </w:pPr>
                            <w:r w:rsidRPr="009E4227">
                              <w:rPr>
                                <w:rFonts w:cstheme="minorHAnsi"/>
                                <w:sz w:val="20"/>
                                <w:szCs w:val="20"/>
                              </w:rPr>
                              <w:t>Resource Plan (include in Addendum; to include as annex on new Defra template once published awaited)</w:t>
                            </w:r>
                          </w:p>
                          <w:p w:rsidRPr="009E4227" w:rsidR="006E055F" w:rsidP="006628DE" w:rsidRDefault="006E055F" w14:paraId="498851BF" w14:textId="5359FA00">
                            <w:pPr>
                              <w:pStyle w:val="ListParagraph"/>
                              <w:numPr>
                                <w:ilvl w:val="0"/>
                                <w:numId w:val="22"/>
                              </w:numPr>
                              <w:rPr>
                                <w:rFonts w:cstheme="minorHAnsi"/>
                                <w:sz w:val="20"/>
                                <w:szCs w:val="20"/>
                              </w:rPr>
                            </w:pPr>
                            <w:r w:rsidRPr="009E4227">
                              <w:rPr>
                                <w:rFonts w:cstheme="minorHAnsi"/>
                                <w:sz w:val="20"/>
                                <w:szCs w:val="20"/>
                              </w:rPr>
                              <w:t>Any relevant appendices or supporting information.</w:t>
                            </w:r>
                          </w:p>
                          <w:bookmarkStart w:name="_Hlk76706011" w:id="102"/>
                          <w:p w:rsidRPr="006E055F" w:rsidR="006E055F" w:rsidP="006E055F" w:rsidRDefault="006E055F" w14:paraId="699825C4" w14:textId="759ED57D">
                            <w:pPr>
                              <w:rPr>
                                <w:rFonts w:cstheme="minorHAnsi"/>
                                <w:sz w:val="20"/>
                                <w:szCs w:val="20"/>
                              </w:rPr>
                            </w:pPr>
                            <w:r w:rsidRPr="006E055F">
                              <w:fldChar w:fldCharType="begin"/>
                            </w:r>
                            <w:r w:rsidRPr="006E055F">
                              <w:rPr>
                                <w:rFonts w:cstheme="minorHAnsi"/>
                                <w:sz w:val="20"/>
                                <w:szCs w:val="20"/>
                              </w:rPr>
                              <w:instrText xml:space="preserve"> HYPERLINK "https://defra.sharepoint.com/:p:/r/teams/Team188/_layouts/15/Doc.aspx?sourcedoc=%7BCE460CE6-38E8-494E-A577-8C08348E640C%7D&amp;file=IAAS%20v.6.0%20Dec%202020.ppt&amp;action=edit&amp;mobileredirect=true" </w:instrText>
                            </w:r>
                            <w:r w:rsidRPr="006E055F">
                              <w:fldChar w:fldCharType="separate"/>
                            </w:r>
                            <w:r w:rsidRPr="006E055F">
                              <w:rPr>
                                <w:rStyle w:val="ListParagraphChar"/>
                                <w:rFonts w:asciiTheme="minorHAnsi" w:hAnsiTheme="minorHAnsi" w:cstheme="minorHAnsi"/>
                                <w:i/>
                                <w:iCs/>
                                <w:sz w:val="20"/>
                                <w:szCs w:val="20"/>
                              </w:rPr>
                              <w:t>The Defra Group Integrated Assurance and Approval Strategy</w:t>
                            </w:r>
                            <w:r w:rsidRPr="006E055F">
                              <w:rPr>
                                <w:rStyle w:val="ListParagraphChar"/>
                                <w:rFonts w:asciiTheme="minorHAnsi" w:hAnsiTheme="minorHAnsi" w:cstheme="minorHAnsi"/>
                                <w:i/>
                                <w:iCs/>
                                <w:sz w:val="20"/>
                                <w:szCs w:val="20"/>
                              </w:rPr>
                              <w:fldChar w:fldCharType="end"/>
                            </w:r>
                            <w:r w:rsidRPr="006E055F">
                              <w:rPr>
                                <w:rFonts w:eastAsiaTheme="minorEastAsia" w:cstheme="minorHAnsi"/>
                                <w:i/>
                                <w:iCs/>
                                <w:sz w:val="20"/>
                                <w:szCs w:val="20"/>
                              </w:rPr>
                              <w:t xml:space="preserve"> sets out guidance around Defra IC assurance and approvals. </w:t>
                            </w:r>
                            <w:bookmarkEnd w:id="102"/>
                            <w:r w:rsidRPr="006E055F">
                              <w:rPr>
                                <w:rFonts w:eastAsiaTheme="minorEastAsia" w:cstheme="minorHAnsi"/>
                                <w:i/>
                                <w:iCs/>
                                <w:sz w:val="20"/>
                                <w:szCs w:val="20"/>
                              </w:rPr>
                              <w:t xml:space="preserve">Please contact </w:t>
                            </w:r>
                            <w:hyperlink w:history="1" r:id="rId35">
                              <w:r w:rsidRPr="006E055F">
                                <w:rPr>
                                  <w:rStyle w:val="ListParagraphChar"/>
                                  <w:rFonts w:asciiTheme="minorHAnsi" w:hAnsiTheme="minorHAnsi" w:cstheme="minorHAnsi"/>
                                  <w:i/>
                                  <w:iCs/>
                                  <w:sz w:val="20"/>
                                  <w:szCs w:val="20"/>
                                </w:rPr>
                                <w:t>ODAhub@defra.gov.uk</w:t>
                              </w:r>
                            </w:hyperlink>
                            <w:r w:rsidRPr="006E055F">
                              <w:rPr>
                                <w:rFonts w:eastAsiaTheme="minorEastAsia" w:cstheme="minorHAnsi"/>
                                <w:i/>
                                <w:iCs/>
                                <w:sz w:val="20"/>
                                <w:szCs w:val="20"/>
                              </w:rPr>
                              <w:t xml:space="preserve"> for specific ODA questions.</w:t>
                            </w:r>
                          </w:p>
                        </w:txbxContent>
                      </wps:txbx>
                      <wps:bodyPr rot="0" vert="horz" wrap="square" lIns="91440" tIns="45720" rIns="91440" bIns="45720" anchor="t" anchorCtr="0">
                        <a:spAutoFit/>
                      </wps:bodyPr>
                    </wps:wsp>
                  </a:graphicData>
                </a:graphic>
              </wp:inline>
            </w:drawing>
          </mc:Choice>
          <mc:Fallback>
            <w:pict w14:anchorId="6A0132F1">
              <v:shape id="Text Box 2" style="width:441.75pt;height:110.6pt;visibility:visible;mso-wrap-style:square;mso-left-percent:-10001;mso-top-percent:-10001;mso-position-horizontal:absolute;mso-position-horizontal-relative:char;mso-position-vertical:absolute;mso-position-vertical-relative:line;mso-left-percent:-10001;mso-top-percent:-10001;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" w14:anchorId="7DB2D155">
                <v:textbox style="mso-fit-shape-to-text:t">
                  <w:txbxContent>
                    <w:p w:rsidRPr="00EB0647" w:rsidR="006E055F" w:rsidP="006E055F" w:rsidRDefault="006E055F" w14:paraId="7DA707B3" w14:textId="552CD674">
                      <w:pPr>
                        <w:rPr>
                          <w:rFonts w:cstheme="minorHAnsi"/>
                          <w:sz w:val="20"/>
                          <w:szCs w:val="20"/>
                          <w:u w:val="single"/>
                        </w:rPr>
                      </w:pPr>
                      <w:r w:rsidRPr="00EB0647">
                        <w:rPr>
                          <w:rFonts w:cstheme="minorHAnsi"/>
                          <w:sz w:val="20"/>
                          <w:szCs w:val="20"/>
                          <w:u w:val="single"/>
                        </w:rPr>
                        <w:t>For RED and Investment Committee Approvals</w:t>
                      </w:r>
                    </w:p>
                    <w:p w:rsidRPr="006E055F" w:rsidR="006E055F" w:rsidP="006E055F" w:rsidRDefault="006E055F" w14:paraId="6FC25879" w14:textId="77777777">
                      <w:pPr>
                        <w:rPr>
                          <w:rFonts w:cstheme="minorHAnsi"/>
                          <w:sz w:val="20"/>
                          <w:szCs w:val="20"/>
                        </w:rPr>
                      </w:pPr>
                      <w:r w:rsidRPr="006E055F">
                        <w:rPr>
                          <w:rFonts w:cstheme="minorHAnsi"/>
                          <w:sz w:val="20"/>
                          <w:szCs w:val="20"/>
                        </w:rPr>
                        <w:t>Documents must include (updated versions where applicable):</w:t>
                      </w:r>
                    </w:p>
                    <w:p w:rsidRPr="00EB0647" w:rsidR="006E055F" w:rsidP="006628DE" w:rsidRDefault="006E055F" w14:paraId="22E1F3EA" w14:textId="77777777">
                      <w:pPr>
                        <w:pStyle w:val="ListParagraph"/>
                        <w:numPr>
                          <w:ilvl w:val="0"/>
                          <w:numId w:val="22"/>
                        </w:numPr>
                        <w:rPr>
                          <w:rFonts w:cstheme="minorHAnsi"/>
                          <w:sz w:val="20"/>
                          <w:szCs w:val="20"/>
                        </w:rPr>
                      </w:pPr>
                      <w:r w:rsidRPr="00EB0647">
                        <w:rPr>
                          <w:rFonts w:cstheme="minorHAnsi"/>
                          <w:sz w:val="20"/>
                          <w:szCs w:val="20"/>
                        </w:rPr>
                        <w:t>Red Team &amp; Investment Committee Coversheet (final version)</w:t>
                      </w:r>
                    </w:p>
                    <w:p w:rsidR="009E4227" w:rsidP="006628DE" w:rsidRDefault="006E055F" w14:paraId="36498AF7" w14:textId="77777777">
                      <w:pPr>
                        <w:pStyle w:val="ListParagraph"/>
                        <w:numPr>
                          <w:ilvl w:val="0"/>
                          <w:numId w:val="22"/>
                        </w:numPr>
                        <w:rPr>
                          <w:rFonts w:cstheme="minorHAnsi"/>
                          <w:sz w:val="20"/>
                          <w:szCs w:val="20"/>
                        </w:rPr>
                      </w:pPr>
                      <w:r w:rsidRPr="009E4227">
                        <w:rPr>
                          <w:rFonts w:cstheme="minorHAnsi"/>
                          <w:sz w:val="20"/>
                          <w:szCs w:val="20"/>
                        </w:rPr>
                        <w:t xml:space="preserve">Final version of the original Business case </w:t>
                      </w:r>
                    </w:p>
                    <w:p w:rsidR="009E4227" w:rsidP="006628DE" w:rsidRDefault="0089739D" w14:paraId="2271A310" w14:textId="7F0F986D">
                      <w:pPr>
                        <w:pStyle w:val="ListParagraph"/>
                        <w:numPr>
                          <w:ilvl w:val="0"/>
                          <w:numId w:val="22"/>
                        </w:numPr>
                        <w:rPr>
                          <w:rFonts w:cstheme="minorHAnsi"/>
                          <w:sz w:val="20"/>
                          <w:szCs w:val="20"/>
                        </w:rPr>
                      </w:pPr>
                      <w:hyperlink w:history="1" r:id="rId36">
                        <w:r w:rsidRPr="009E4227" w:rsidR="006E055F">
                          <w:rPr>
                            <w:rFonts w:cstheme="minorHAnsi"/>
                            <w:sz w:val="20"/>
                            <w:szCs w:val="20"/>
                          </w:rPr>
                          <w:t>Risk Potential Assessment (RPA)</w:t>
                        </w:r>
                      </w:hyperlink>
                      <w:r w:rsidRPr="009E4227" w:rsidR="006E055F">
                        <w:rPr>
                          <w:rFonts w:cstheme="minorHAnsi"/>
                          <w:sz w:val="20"/>
                          <w:szCs w:val="20"/>
                        </w:rPr>
                        <w:t xml:space="preserve"> – this must be reviewed &amp; validated by the Defra Portfolio Assurance Team prior to submission</w:t>
                      </w:r>
                    </w:p>
                    <w:p w:rsidR="009E4227" w:rsidP="006628DE" w:rsidRDefault="0089739D" w14:paraId="6BB958DB" w14:textId="14578376">
                      <w:pPr>
                        <w:pStyle w:val="ListParagraph"/>
                        <w:numPr>
                          <w:ilvl w:val="0"/>
                          <w:numId w:val="22"/>
                        </w:numPr>
                        <w:rPr>
                          <w:rFonts w:cstheme="minorHAnsi"/>
                          <w:sz w:val="20"/>
                          <w:szCs w:val="20"/>
                        </w:rPr>
                      </w:pPr>
                      <w:hyperlink w:history="1" r:id="rId37">
                        <w:r w:rsidRPr="009E4227" w:rsidR="006E055F">
                          <w:rPr>
                            <w:rFonts w:cstheme="minorHAnsi"/>
                            <w:sz w:val="20"/>
                            <w:szCs w:val="20"/>
                          </w:rPr>
                          <w:t>Integrated Assurance and Approval Plan (IAAP</w:t>
                        </w:r>
                      </w:hyperlink>
                      <w:r w:rsidRPr="009E4227" w:rsidR="006E055F">
                        <w:rPr>
                          <w:rFonts w:cstheme="minorHAnsi"/>
                          <w:sz w:val="20"/>
                          <w:szCs w:val="20"/>
                        </w:rPr>
                        <w:t>) – this must be reviewed &amp; validated by the Defra Portfolio Assurance Team prior to submission</w:t>
                      </w:r>
                    </w:p>
                    <w:p w:rsidR="009E4227" w:rsidP="006628DE" w:rsidRDefault="0089739D" w14:paraId="6F7C7DC7" w14:textId="7C5B1510">
                      <w:pPr>
                        <w:pStyle w:val="ListParagraph"/>
                        <w:numPr>
                          <w:ilvl w:val="0"/>
                          <w:numId w:val="22"/>
                        </w:numPr>
                        <w:rPr>
                          <w:rFonts w:cstheme="minorHAnsi"/>
                          <w:sz w:val="20"/>
                          <w:szCs w:val="20"/>
                        </w:rPr>
                      </w:pPr>
                      <w:hyperlink w:history="1" r:id="rId38">
                        <w:r w:rsidRPr="009E4227" w:rsidR="006E055F">
                          <w:rPr>
                            <w:rStyle w:val="ListParagraphChar"/>
                            <w:rFonts w:asciiTheme="minorHAnsi" w:hAnsiTheme="minorHAnsi" w:eastAsiaTheme="minorHAnsi" w:cstheme="minorHAnsi"/>
                            <w:sz w:val="20"/>
                            <w:szCs w:val="20"/>
                          </w:rPr>
                          <w:t>Accounting Officer (AO)</w:t>
                        </w:r>
                      </w:hyperlink>
                      <w:r w:rsidRPr="009E4227" w:rsidR="006E055F">
                        <w:rPr>
                          <w:rFonts w:cstheme="minorHAnsi"/>
                          <w:sz w:val="20"/>
                          <w:szCs w:val="20"/>
                        </w:rPr>
                        <w:t xml:space="preserve"> test document – this must be reviewed and signed off by your FBP prior to submission.</w:t>
                      </w:r>
                    </w:p>
                    <w:p w:rsidR="009E4227" w:rsidP="006628DE" w:rsidRDefault="006E055F" w14:paraId="185550A4" w14:textId="77777777">
                      <w:pPr>
                        <w:pStyle w:val="ListParagraph"/>
                        <w:numPr>
                          <w:ilvl w:val="0"/>
                          <w:numId w:val="22"/>
                        </w:numPr>
                        <w:rPr>
                          <w:rFonts w:cstheme="minorHAnsi"/>
                          <w:sz w:val="20"/>
                          <w:szCs w:val="20"/>
                        </w:rPr>
                      </w:pPr>
                      <w:r w:rsidRPr="009E4227">
                        <w:rPr>
                          <w:rFonts w:cstheme="minorHAnsi"/>
                          <w:sz w:val="20"/>
                          <w:szCs w:val="20"/>
                        </w:rPr>
                        <w:t>Benefits Plan (if not included in the Business case)</w:t>
                      </w:r>
                    </w:p>
                    <w:p w:rsidR="009E4227" w:rsidP="006628DE" w:rsidRDefault="006E055F" w14:paraId="1D62479B" w14:textId="77777777">
                      <w:pPr>
                        <w:pStyle w:val="ListParagraph"/>
                        <w:numPr>
                          <w:ilvl w:val="0"/>
                          <w:numId w:val="22"/>
                        </w:numPr>
                        <w:rPr>
                          <w:rFonts w:cstheme="minorHAnsi"/>
                          <w:sz w:val="20"/>
                          <w:szCs w:val="20"/>
                        </w:rPr>
                      </w:pPr>
                      <w:r w:rsidRPr="009E4227">
                        <w:rPr>
                          <w:rFonts w:cstheme="minorHAnsi"/>
                          <w:sz w:val="20"/>
                          <w:szCs w:val="20"/>
                        </w:rPr>
                        <w:t>Resource Plan (include in Addendum; to include as annex on new Defra template once published awaited)</w:t>
                      </w:r>
                    </w:p>
                    <w:p w:rsidRPr="009E4227" w:rsidR="006E055F" w:rsidP="006628DE" w:rsidRDefault="006E055F" w14:paraId="7D1AC08F" w14:textId="5359FA00">
                      <w:pPr>
                        <w:pStyle w:val="ListParagraph"/>
                        <w:numPr>
                          <w:ilvl w:val="0"/>
                          <w:numId w:val="22"/>
                        </w:numPr>
                        <w:rPr>
                          <w:rFonts w:cstheme="minorHAnsi"/>
                          <w:sz w:val="20"/>
                          <w:szCs w:val="20"/>
                        </w:rPr>
                      </w:pPr>
                      <w:r w:rsidRPr="009E4227">
                        <w:rPr>
                          <w:rFonts w:cstheme="minorHAnsi"/>
                          <w:sz w:val="20"/>
                          <w:szCs w:val="20"/>
                        </w:rPr>
                        <w:t>Any relevant appendices or supporting information.</w:t>
                      </w:r>
                    </w:p>
                    <w:p w:rsidRPr="006E055F" w:rsidR="006E055F" w:rsidP="006E055F" w:rsidRDefault="006E055F" w14:paraId="7E00EDAF" w14:textId="759ED57D">
                      <w:pPr>
                        <w:rPr>
                          <w:rFonts w:cstheme="minorHAnsi"/>
                          <w:sz w:val="20"/>
                          <w:szCs w:val="20"/>
                        </w:rPr>
                      </w:pPr>
                      <w:r w:rsidRPr="006E055F">
                        <w:fldChar w:fldCharType="begin"/>
                      </w:r>
                      <w:r w:rsidRPr="006E055F">
                        <w:rPr>
                          <w:rFonts w:cstheme="minorHAnsi"/>
                          <w:sz w:val="20"/>
                          <w:szCs w:val="20"/>
                        </w:rPr>
                        <w:instrText xml:space="preserve"> HYPERLINK "https://defra.sharepoint.com/:p:/r/teams/Team188/_layouts/15/Doc.aspx?sourcedoc=%7BCE460CE6-38E8-494E-A577-8C08348E640C%7D&amp;file=IAAS%20v.6.0%20Dec%202020.ppt&amp;action=edit&amp;mobileredirect=true" </w:instrText>
                      </w:r>
                      <w:r w:rsidRPr="006E055F">
                        <w:fldChar w:fldCharType="separate"/>
                      </w:r>
                      <w:r w:rsidRPr="006E055F">
                        <w:rPr>
                          <w:rStyle w:val="ListParagraphChar"/>
                          <w:rFonts w:asciiTheme="minorHAnsi" w:hAnsiTheme="minorHAnsi" w:cstheme="minorHAnsi"/>
                          <w:i/>
                          <w:iCs/>
                          <w:sz w:val="20"/>
                          <w:szCs w:val="20"/>
                        </w:rPr>
                        <w:t>The Defra Group Integrated Assurance and Approval Strategy</w:t>
                      </w:r>
                      <w:r w:rsidRPr="006E055F">
                        <w:rPr>
                          <w:rStyle w:val="ListParagraphChar"/>
                          <w:rFonts w:asciiTheme="minorHAnsi" w:hAnsiTheme="minorHAnsi" w:cstheme="minorHAnsi"/>
                          <w:i/>
                          <w:iCs/>
                          <w:sz w:val="20"/>
                          <w:szCs w:val="20"/>
                        </w:rPr>
                        <w:fldChar w:fldCharType="end"/>
                      </w:r>
                      <w:r w:rsidRPr="006E055F">
                        <w:rPr>
                          <w:rFonts w:eastAsiaTheme="minorEastAsia" w:cstheme="minorHAnsi"/>
                          <w:i/>
                          <w:iCs/>
                          <w:sz w:val="20"/>
                          <w:szCs w:val="20"/>
                        </w:rPr>
                        <w:t xml:space="preserve"> sets out guidance around Defra IC assurance and approvals. </w:t>
                      </w:r>
                      <w:r w:rsidRPr="006E055F">
                        <w:rPr>
                          <w:rFonts w:eastAsiaTheme="minorEastAsia" w:cstheme="minorHAnsi"/>
                          <w:i/>
                          <w:iCs/>
                          <w:sz w:val="20"/>
                          <w:szCs w:val="20"/>
                        </w:rPr>
                        <w:t xml:space="preserve">Please contact </w:t>
                      </w:r>
                      <w:hyperlink w:history="1" r:id="rId39">
                        <w:r w:rsidRPr="006E055F">
                          <w:rPr>
                            <w:rStyle w:val="ListParagraphChar"/>
                            <w:rFonts w:asciiTheme="minorHAnsi" w:hAnsiTheme="minorHAnsi" w:cstheme="minorHAnsi"/>
                            <w:i/>
                            <w:iCs/>
                            <w:sz w:val="20"/>
                            <w:szCs w:val="20"/>
                          </w:rPr>
                          <w:t>ODAhub@defra.gov.uk</w:t>
                        </w:r>
                      </w:hyperlink>
                      <w:r w:rsidRPr="006E055F">
                        <w:rPr>
                          <w:rFonts w:eastAsiaTheme="minorEastAsia" w:cstheme="minorHAnsi"/>
                          <w:i/>
                          <w:iCs/>
                          <w:sz w:val="20"/>
                          <w:szCs w:val="20"/>
                        </w:rPr>
                        <w:t xml:space="preserve"> for specific ODA questions.</w:t>
                      </w:r>
                    </w:p>
                  </w:txbxContent>
                </v:textbox>
                <w10:anchorlock/>
              </v:shape>
            </w:pict>
          </mc:Fallback>
        </mc:AlternateContent>
      </w:r>
    </w:p>
    <w:p w:rsidRPr="00D15D16" w:rsidR="006E055F" w:rsidP="006E055F" w:rsidRDefault="006E055F" w14:paraId="109A243A" w14:textId="77777777"/>
    <w:sectPr w:rsidRPr="00D15D16" w:rsidR="006E055F" w:rsidSect="0059188B">
      <w:pgSz w:w="11906" w:h="16838"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4E02" w:rsidP="00D15D16" w:rsidRDefault="00EB4E02" w14:paraId="11A8A2C7" w14:textId="77777777">
      <w:r>
        <w:separator/>
      </w:r>
    </w:p>
  </w:endnote>
  <w:endnote w:type="continuationSeparator" w:id="0">
    <w:p w:rsidR="00EB4E02" w:rsidP="00D15D16" w:rsidRDefault="00EB4E02" w14:paraId="065E6318" w14:textId="77777777">
      <w:r>
        <w:continuationSeparator/>
      </w:r>
    </w:p>
  </w:endnote>
  <w:endnote w:type="continuationNotice" w:id="1">
    <w:p w:rsidR="00EB4E02" w:rsidRDefault="00EB4E02" w14:paraId="661916B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901798"/>
      <w:docPartObj>
        <w:docPartGallery w:val="Page Numbers (Bottom of Page)"/>
        <w:docPartUnique/>
      </w:docPartObj>
    </w:sdtPr>
    <w:sdtEndPr>
      <w:rPr>
        <w:noProof/>
      </w:rPr>
    </w:sdtEndPr>
    <w:sdtContent>
      <w:p w:rsidR="004C2209" w:rsidRDefault="004C2209" w14:paraId="0050349B" w14:textId="0CFC86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C2209" w:rsidRDefault="004C2209" w14:paraId="0B59640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4E02" w:rsidP="00D15D16" w:rsidRDefault="00EB4E02" w14:paraId="6899F418" w14:textId="77777777">
      <w:r>
        <w:separator/>
      </w:r>
    </w:p>
  </w:footnote>
  <w:footnote w:type="continuationSeparator" w:id="0">
    <w:p w:rsidR="00EB4E02" w:rsidP="00D15D16" w:rsidRDefault="00EB4E02" w14:paraId="37C15579" w14:textId="77777777">
      <w:r>
        <w:continuationSeparator/>
      </w:r>
    </w:p>
  </w:footnote>
  <w:footnote w:type="continuationNotice" w:id="1">
    <w:p w:rsidR="00EB4E02" w:rsidRDefault="00EB4E02" w14:paraId="7D830109" w14:textId="77777777">
      <w:pPr>
        <w:spacing w:after="0" w:line="240" w:lineRule="auto"/>
      </w:pPr>
    </w:p>
  </w:footnote>
  <w:footnote w:id="2">
    <w:p w:rsidR="00C51FA2" w:rsidRDefault="00C51FA2" w14:paraId="0F222F16" w14:textId="411F8185">
      <w:pPr>
        <w:pStyle w:val="FootnoteText"/>
      </w:pPr>
      <w:r>
        <w:rPr>
          <w:rStyle w:val="FootnoteReference"/>
        </w:rPr>
        <w:footnoteRef/>
      </w:r>
      <w:r>
        <w:t xml:space="preserve"> ODA Hub guidance is to use the addendum template for ODA business case extensions.</w:t>
      </w:r>
    </w:p>
  </w:footnote>
  <w:footnote w:id="3">
    <w:p w:rsidR="00D15D16" w:rsidP="00D15D16" w:rsidRDefault="00D15D16" w14:paraId="67D7BF9D" w14:textId="77777777">
      <w:pPr>
        <w:pStyle w:val="FootnoteText"/>
      </w:pPr>
      <w:r>
        <w:rPr>
          <w:rStyle w:val="FootnoteReference"/>
        </w:rPr>
        <w:footnoteRef/>
      </w:r>
      <w:r>
        <w:t xml:space="preserve"> </w:t>
      </w:r>
      <w:r w:rsidRPr="00DF087F">
        <w:t>Year on year disbursements will be dependent on the ongoing strong performance of the GFCR and evidence of need. Expanded on in body of addendum.</w:t>
      </w:r>
    </w:p>
  </w:footnote>
  <w:footnote w:id="4">
    <w:p w:rsidRPr="0015573E" w:rsidR="23A59346" w:rsidP="23A59346" w:rsidRDefault="23A59346" w14:paraId="79936EA6" w14:textId="5C37D186">
      <w:pPr>
        <w:rPr>
          <w:color w:val="2F5496" w:themeColor="accent1" w:themeShade="BF"/>
          <w:highlight w:val="yellow"/>
        </w:rPr>
      </w:pPr>
      <w:r w:rsidRPr="002F062C">
        <w:rPr>
          <w:sz w:val="16"/>
          <w:szCs w:val="16"/>
        </w:rPr>
        <w:footnoteRef/>
      </w:r>
      <w:r w:rsidRPr="002F062C">
        <w:rPr>
          <w:sz w:val="16"/>
          <w:szCs w:val="16"/>
        </w:rPr>
        <w:t xml:space="preserve"> </w:t>
      </w:r>
      <w:r w:rsidRPr="002F062C">
        <w:rPr>
          <w:rFonts w:ascii="Calibri" w:hAnsi="Calibri" w:eastAsia="Calibri" w:cs="Calibri"/>
          <w:color w:val="000000" w:themeColor="text1"/>
          <w:sz w:val="16"/>
          <w:szCs w:val="16"/>
        </w:rPr>
        <w:t>Performance will be monitored for each project in line with the GFCR results framework throughout the year, in addition to progress being reviewed at quarterly Executive Board meetings; this will allow us to identify performance issues promptly. If comes to light that multiple projects are not meeting specific outputs, we will revaluate output indictors and investigate reasons why.</w:t>
      </w:r>
    </w:p>
  </w:footnote>
  <w:footnote w:id="5">
    <w:p w:rsidR="009C08CC" w:rsidRDefault="009C08CC" w14:paraId="09BA009C" w14:textId="7E130A00">
      <w:pPr>
        <w:pStyle w:val="FootnoteText"/>
      </w:pPr>
      <w:r>
        <w:rPr>
          <w:rStyle w:val="FootnoteReference"/>
        </w:rPr>
        <w:footnoteRef/>
      </w:r>
      <w:r>
        <w:t xml:space="preserve"> </w:t>
      </w:r>
      <w:r>
        <w:rPr>
          <w:rStyle w:val="Hyperlink"/>
        </w:rPr>
        <w:t>Coral reefs and climate change - resource | IUCN</w:t>
      </w:r>
    </w:p>
  </w:footnote>
  <w:footnote w:id="6">
    <w:p w:rsidRPr="00137014" w:rsidR="00245A9A" w:rsidP="00245A9A" w:rsidRDefault="00245A9A" w14:paraId="506F4F5B" w14:textId="6240E248">
      <w:pPr>
        <w:pStyle w:val="FootnoteText"/>
      </w:pPr>
      <w:r w:rsidRPr="00137014">
        <w:rPr>
          <w:rStyle w:val="FootnoteReference"/>
        </w:rPr>
        <w:footnoteRef/>
      </w:r>
      <w:r w:rsidRPr="00137014">
        <w:t xml:space="preserve"> </w:t>
      </w:r>
      <w:hyperlink w:history="1" r:id="rId1">
        <w:r>
          <w:rPr>
            <w:rStyle w:val="Hyperlink"/>
          </w:rPr>
          <w:t>2018 ISRS Consensus Statement on Coral Bleaching Climate Change final_0.pdf (icriforum.org)</w:t>
        </w:r>
      </w:hyperlink>
    </w:p>
  </w:footnote>
  <w:footnote w:id="7">
    <w:p w:rsidRPr="00137014" w:rsidR="00245A9A" w:rsidP="00245A9A" w:rsidRDefault="00245A9A" w14:paraId="5944246F" w14:textId="7D7DE82C">
      <w:pPr>
        <w:pStyle w:val="FootnoteText"/>
      </w:pPr>
      <w:r w:rsidRPr="00137014">
        <w:rPr>
          <w:rStyle w:val="FootnoteReference"/>
        </w:rPr>
        <w:footnoteRef/>
      </w:r>
      <w:r w:rsidRPr="00137014">
        <w:t xml:space="preserve"> </w:t>
      </w:r>
      <w:r w:rsidRPr="00D15D16">
        <w:t xml:space="preserve">Burke, L., K. </w:t>
      </w:r>
      <w:proofErr w:type="spellStart"/>
      <w:r w:rsidRPr="00D15D16">
        <w:t>Reytar</w:t>
      </w:r>
      <w:proofErr w:type="spellEnd"/>
      <w:r w:rsidRPr="00D15D16">
        <w:t xml:space="preserve">, M. Spalding, and A. Perry. 2011 Reefs at Risk Revisited. Washington, D.C., World Resources Institute (WRI), The Nature Conservancy, </w:t>
      </w:r>
      <w:proofErr w:type="spellStart"/>
      <w:r w:rsidRPr="00D15D16">
        <w:t>WorldFish</w:t>
      </w:r>
      <w:proofErr w:type="spellEnd"/>
      <w:r w:rsidRPr="00D15D16">
        <w:t xml:space="preserve"> Centre, International Coral Reef Action Network, UNEP World Conservation Monitoring Centre, and Global Coral Reef Monitoring Network, 114p. (pdf, 6.4M) (via </w:t>
      </w:r>
      <w:hyperlink w:history="1" r:id="rId2">
        <w:r w:rsidRPr="00D15D16">
          <w:t>Reef Resilience Network</w:t>
        </w:r>
      </w:hyperlink>
      <w:r w:rsidRPr="00D15D16">
        <w:t>)</w:t>
      </w:r>
    </w:p>
  </w:footnote>
  <w:footnote w:id="8">
    <w:p w:rsidR="00AC6A5D" w:rsidP="00AC6A5D" w:rsidRDefault="00AC6A5D" w14:paraId="4DA96378" w14:textId="7970F542">
      <w:pPr>
        <w:pStyle w:val="FootnoteText"/>
      </w:pPr>
      <w:r>
        <w:rPr>
          <w:rStyle w:val="FootnoteReference"/>
        </w:rPr>
        <w:footnoteRef/>
      </w:r>
      <w:r>
        <w:t xml:space="preserve"> </w:t>
      </w:r>
      <w:hyperlink w:history="1" r:id="rId3">
        <w:r>
          <w:rPr>
            <w:rStyle w:val="Hyperlink"/>
          </w:rPr>
          <w:t>Financing Nature: Closing the Global Biodiversity Financing Gap - Paulson Institute</w:t>
        </w:r>
      </w:hyperlink>
    </w:p>
  </w:footnote>
  <w:footnote w:id="9">
    <w:p w:rsidR="000635B5" w:rsidRDefault="000635B5" w14:paraId="65C41920" w14:textId="63F649D5">
      <w:pPr>
        <w:pStyle w:val="FootnoteText"/>
      </w:pPr>
      <w:r>
        <w:rPr>
          <w:rStyle w:val="FootnoteReference"/>
        </w:rPr>
        <w:footnoteRef/>
      </w:r>
      <w:r>
        <w:t xml:space="preserve"> Following successful approval of this Business Case Addendum, Defra plan to announce further support to the GFCR at the Our Ocean conference in March 2023. </w:t>
      </w:r>
    </w:p>
  </w:footnote>
  <w:footnote w:id="10">
    <w:p w:rsidRPr="00947D53" w:rsidR="003A2C47" w:rsidP="003A2C47" w:rsidRDefault="003A2C47" w14:paraId="7B7D36BF" w14:textId="05B298BC">
      <w:pPr>
        <w:pStyle w:val="FootnoteText"/>
        <w:rPr>
          <w:sz w:val="16"/>
          <w:szCs w:val="22"/>
        </w:rPr>
      </w:pPr>
      <w:r>
        <w:rPr>
          <w:rStyle w:val="FootnoteReference"/>
        </w:rPr>
        <w:footnoteRef/>
      </w:r>
      <w:r>
        <w:t xml:space="preserve"> </w:t>
      </w:r>
      <w:r w:rsidRPr="00947D53">
        <w:rPr>
          <w:sz w:val="16"/>
          <w:szCs w:val="22"/>
        </w:rPr>
        <w:t>Assuming no further income beyond what has been committed as of July 31</w:t>
      </w:r>
      <w:r w:rsidRPr="00947D53">
        <w:rPr>
          <w:sz w:val="16"/>
          <w:szCs w:val="22"/>
          <w:vertAlign w:val="superscript"/>
        </w:rPr>
        <w:t>st</w:t>
      </w:r>
      <w:r w:rsidRPr="00947D53" w:rsidR="00BD3371">
        <w:rPr>
          <w:sz w:val="16"/>
          <w:szCs w:val="22"/>
        </w:rPr>
        <w:t>, 2022</w:t>
      </w:r>
    </w:p>
  </w:footnote>
  <w:footnote w:id="11">
    <w:p w:rsidRPr="00610209" w:rsidR="00610209" w:rsidP="00610209" w:rsidRDefault="003C32FE" w14:paraId="7A8E234C" w14:textId="0B406DB8">
      <w:pPr>
        <w:rPr>
          <w:color w:val="000000"/>
          <w:sz w:val="20"/>
          <w:szCs w:val="20"/>
          <w:shd w:val="clear" w:color="auto" w:fill="FFFFFF"/>
        </w:rPr>
      </w:pPr>
      <w:r w:rsidRPr="00610209">
        <w:rPr>
          <w:rStyle w:val="FootnoteReference"/>
          <w:sz w:val="16"/>
          <w:szCs w:val="16"/>
        </w:rPr>
        <w:footnoteRef/>
      </w:r>
      <w:r w:rsidRPr="00610209">
        <w:rPr>
          <w:sz w:val="16"/>
          <w:szCs w:val="16"/>
        </w:rPr>
        <w:t xml:space="preserve"> Defra’s BPF funding is earmarked for investments in ODA eligible countries only</w:t>
      </w:r>
      <w:r w:rsidRPr="00610209" w:rsidR="00610209">
        <w:rPr>
          <w:sz w:val="16"/>
          <w:szCs w:val="16"/>
        </w:rPr>
        <w:t>;</w:t>
      </w:r>
      <w:r w:rsidRPr="00610209" w:rsidR="00610209">
        <w:rPr>
          <w:color w:val="242424"/>
          <w:sz w:val="16"/>
          <w:szCs w:val="16"/>
          <w:shd w:val="clear" w:color="auto" w:fill="FFFFFF"/>
        </w:rPr>
        <w:t xml:space="preserve"> </w:t>
      </w:r>
      <w:r w:rsidRPr="00610209" w:rsidR="00610209">
        <w:rPr>
          <w:rStyle w:val="contentpasted0"/>
          <w:color w:val="242424"/>
          <w:sz w:val="16"/>
          <w:szCs w:val="16"/>
          <w:shd w:val="clear" w:color="auto" w:fill="FFFFFF"/>
        </w:rPr>
        <w:t>The GFCR disburses resources through the UN Multi-Partner Trust Fund Office’s (UN MPTF Office) pooled-funding mechanism. The UN MPTF Office, as Trustee of the GFCR,</w:t>
      </w:r>
      <w:r w:rsidRPr="00610209" w:rsidR="00610209">
        <w:rPr>
          <w:rStyle w:val="apple-converted-space"/>
          <w:color w:val="242424"/>
          <w:sz w:val="16"/>
          <w:szCs w:val="16"/>
          <w:shd w:val="clear" w:color="auto" w:fill="FFFFFF"/>
        </w:rPr>
        <w:t> </w:t>
      </w:r>
      <w:r w:rsidRPr="00610209" w:rsidR="00610209">
        <w:rPr>
          <w:rStyle w:val="contentpasted0"/>
          <w:color w:val="242424"/>
          <w:sz w:val="16"/>
          <w:szCs w:val="16"/>
          <w:bdr w:val="none" w:color="auto" w:sz="0" w:space="0" w:frame="1"/>
          <w:shd w:val="clear" w:color="auto" w:fill="FFFFFF"/>
        </w:rPr>
        <w:t>earmark</w:t>
      </w:r>
      <w:r w:rsidRPr="00610209" w:rsidR="00610209">
        <w:rPr>
          <w:rStyle w:val="contentpasted0"/>
          <w:color w:val="242424"/>
          <w:sz w:val="16"/>
          <w:szCs w:val="16"/>
          <w:shd w:val="clear" w:color="auto" w:fill="FFFFFF"/>
        </w:rPr>
        <w:t xml:space="preserve">s UK contributions to ODA regions / countries as specified in the signed Standard Administrative Agreement (specifically Annex B), between the UN MPTF Office and the Government of the </w:t>
      </w:r>
      <w:r w:rsidRPr="00610209" w:rsidR="00B11A18">
        <w:rPr>
          <w:rStyle w:val="contentpasted0"/>
          <w:color w:val="242424"/>
          <w:sz w:val="16"/>
          <w:szCs w:val="16"/>
          <w:shd w:val="clear" w:color="auto" w:fill="FFFFFF"/>
        </w:rPr>
        <w:t>UK.</w:t>
      </w:r>
      <w:r w:rsidRPr="00610209" w:rsidR="00610209">
        <w:rPr>
          <w:rStyle w:val="contentpasted0"/>
          <w:color w:val="242424"/>
          <w:sz w:val="16"/>
          <w:szCs w:val="16"/>
          <w:shd w:val="clear" w:color="auto" w:fill="FFFFFF"/>
        </w:rPr>
        <w:t xml:space="preserve"> The UN MPTF Office executes fund transfers based on financial decisions approved by the GFCR Executive Board, and the trustee and Secretariat track and ensure that UK contributions are allocated to ODA regions / countries.</w:t>
      </w:r>
      <w:r w:rsidRPr="00610209" w:rsidR="00610209">
        <w:rPr>
          <w:color w:val="242424"/>
          <w:sz w:val="16"/>
          <w:szCs w:val="16"/>
          <w:shd w:val="clear" w:color="auto" w:fill="FFFFFF"/>
        </w:rPr>
        <w:t> </w:t>
      </w:r>
    </w:p>
    <w:p w:rsidR="003C32FE" w:rsidRDefault="00935ABE" w14:paraId="63C13140" w14:textId="7604ADA4">
      <w:pPr>
        <w:pStyle w:val="FootnoteText"/>
      </w:pPr>
      <w:r>
        <w:t xml:space="preserve">  </w:t>
      </w:r>
    </w:p>
  </w:footnote>
  <w:footnote w:id="12">
    <w:p w:rsidR="00DF4C41" w:rsidRDefault="00DF4C41" w14:paraId="5194F118" w14:textId="19EC4533">
      <w:pPr>
        <w:pStyle w:val="FootnoteText"/>
      </w:pPr>
      <w:r>
        <w:rPr>
          <w:rStyle w:val="FootnoteReference"/>
        </w:rPr>
        <w:footnoteRef/>
      </w:r>
      <w:r>
        <w:t xml:space="preserve"> The Bahamas is not ODA eligible and would not receive UK funding. Impacts are presented </w:t>
      </w:r>
      <w:r w:rsidR="000C25C1">
        <w:t>in this table only</w:t>
      </w:r>
      <w:r>
        <w:t xml:space="preserve"> to </w:t>
      </w:r>
      <w:r w:rsidR="00814317">
        <w:t>provide complete information on</w:t>
      </w:r>
      <w:r>
        <w:t xml:space="preserve"> the overall </w:t>
      </w:r>
      <w:r w:rsidR="00814317">
        <w:t>projected</w:t>
      </w:r>
      <w:r w:rsidR="00D75CE3">
        <w:t xml:space="preserve"> impact of the GFCR projects implemented so far.</w:t>
      </w:r>
    </w:p>
  </w:footnote>
  <w:footnote w:id="13">
    <w:p w:rsidRPr="0046256B" w:rsidR="00D15D16" w:rsidP="00D15D16" w:rsidRDefault="00D15D16" w14:paraId="26516D37" w14:textId="77777777">
      <w:pPr>
        <w:pStyle w:val="FootnoteText"/>
        <w:rPr>
          <w:szCs w:val="18"/>
        </w:rPr>
      </w:pPr>
      <w:r w:rsidRPr="00137014">
        <w:rPr>
          <w:rStyle w:val="FootnoteReference"/>
        </w:rPr>
        <w:footnoteRef/>
      </w:r>
      <w:r w:rsidRPr="00137014">
        <w:t xml:space="preserve"> Asterisk (*) indicates the estimate is for the initial phase only</w:t>
      </w:r>
    </w:p>
  </w:footnote>
  <w:footnote w:id="14">
    <w:p w:rsidR="00D15D16" w:rsidP="00D15D16" w:rsidRDefault="00D15D16" w14:paraId="1CD79985" w14:textId="63D92673">
      <w:pPr>
        <w:pStyle w:val="FootnoteText"/>
      </w:pPr>
      <w:r w:rsidRPr="0046256B">
        <w:rPr>
          <w:rStyle w:val="FootnoteReference"/>
          <w:szCs w:val="18"/>
        </w:rPr>
        <w:footnoteRef/>
      </w:r>
      <w:r w:rsidRPr="0046256B">
        <w:t xml:space="preserve"> Based off proportion of grant funding supplied by the UK as of August 2022 (43%). As a pooled</w:t>
      </w:r>
      <w:r>
        <w:t>, multi-partner trust</w:t>
      </w:r>
      <w:r w:rsidRPr="0046256B">
        <w:t xml:space="preserve"> fund</w:t>
      </w:r>
      <w:r>
        <w:t xml:space="preserve"> (MPTF)</w:t>
      </w:r>
      <w:r w:rsidRPr="0046256B">
        <w:t>, it is not possible to formally account for UK spend in any single project or region</w:t>
      </w:r>
    </w:p>
  </w:footnote>
  <w:footnote w:id="15">
    <w:p w:rsidR="00DF7984" w:rsidRDefault="00DF7984" w14:paraId="3ECF027D" w14:textId="099C3887">
      <w:pPr>
        <w:pStyle w:val="FootnoteText"/>
      </w:pPr>
      <w:r>
        <w:rPr>
          <w:rStyle w:val="FootnoteReference"/>
        </w:rPr>
        <w:footnoteRef/>
      </w:r>
      <w:r>
        <w:t xml:space="preserve"> Although none of this is directly attributable to UK funding, as mentioned several times through this business case document, our understanding is that existing UK funding and the strong signal this has sent has been catalytic and in securing some of this finance.</w:t>
      </w:r>
    </w:p>
  </w:footnote>
  <w:footnote w:id="16">
    <w:p w:rsidR="00C23F0F" w:rsidRDefault="00C23F0F" w14:paraId="714CF0F9" w14:textId="79837A5D">
      <w:pPr>
        <w:pStyle w:val="FootnoteText"/>
      </w:pPr>
      <w:r>
        <w:rPr>
          <w:rStyle w:val="FootnoteReference"/>
        </w:rPr>
        <w:footnoteRef/>
      </w:r>
      <w:r>
        <w:t xml:space="preserve"> </w:t>
      </w:r>
      <w:hyperlink w:history="1" r:id="rId4">
        <w:r w:rsidR="002A6C72">
          <w:rPr>
            <w:rStyle w:val="Hyperlink"/>
          </w:rPr>
          <w:t>Global Fund for Coral Reefs (undp.org)</w:t>
        </w:r>
      </w:hyperlink>
    </w:p>
  </w:footnote>
  <w:footnote w:id="17">
    <w:p w:rsidR="001929ED" w:rsidP="001929ED" w:rsidRDefault="001929ED" w14:paraId="2C4B340A" w14:textId="77777777">
      <w:pPr>
        <w:pStyle w:val="FootnoteText"/>
      </w:pPr>
      <w:r>
        <w:rPr>
          <w:rStyle w:val="FootnoteReference"/>
        </w:rPr>
        <w:footnoteRef/>
      </w:r>
      <w:r>
        <w:t xml:space="preserve"> </w:t>
      </w:r>
      <w:r w:rsidRPr="001929ED">
        <w:t>To note, the GFCR is a Multi-Partner Trust Fund, whereby donor funds are pooled, making direct attribution to specific projects impossible.</w:t>
      </w:r>
    </w:p>
  </w:footnote>
  <w:footnote w:id="18">
    <w:p w:rsidR="007E54DC" w:rsidRDefault="007E54DC" w14:paraId="1DBBFB59" w14:textId="6C64D6ED">
      <w:pPr>
        <w:pStyle w:val="FootnoteText"/>
      </w:pPr>
      <w:r>
        <w:rPr>
          <w:rStyle w:val="FootnoteReference"/>
        </w:rPr>
        <w:footnoteRef/>
      </w:r>
      <w:r>
        <w:t xml:space="preserve"> </w:t>
      </w:r>
      <w:r w:rsidRPr="7412537F">
        <w:rPr>
          <w:rFonts w:ascii="Calibri" w:hAnsi="Calibri" w:eastAsia="Calibri" w:cs="Calibri"/>
          <w:color w:val="000000" w:themeColor="text1"/>
          <w:szCs w:val="18"/>
        </w:rPr>
        <w:t>Resulting from the avoided losses compared to the expected average losses without intervention.</w:t>
      </w:r>
    </w:p>
  </w:footnote>
  <w:footnote w:id="19">
    <w:p w:rsidRPr="00137014" w:rsidR="007E54DC" w:rsidP="007E54DC" w:rsidRDefault="007E54DC" w14:paraId="7EAA5586" w14:textId="77777777">
      <w:pPr>
        <w:pStyle w:val="FootnoteText"/>
      </w:pPr>
      <w:r w:rsidRPr="00137014">
        <w:rPr>
          <w:rStyle w:val="FootnoteReference"/>
        </w:rPr>
        <w:footnoteRef/>
      </w:r>
      <w:r w:rsidRPr="00137014">
        <w:t xml:space="preserve"> </w:t>
      </w:r>
      <w:r>
        <w:t>Benefits presented are only those attributable to GFCR, based off the proportion of project cost they are funding.</w:t>
      </w:r>
    </w:p>
  </w:footnote>
  <w:footnote w:id="20">
    <w:p w:rsidRPr="00137014" w:rsidR="007E54DC" w:rsidP="007E54DC" w:rsidRDefault="007E54DC" w14:paraId="679FF714" w14:textId="77777777">
      <w:pPr>
        <w:pStyle w:val="FootnoteText"/>
      </w:pPr>
      <w:r w:rsidRPr="00137014">
        <w:rPr>
          <w:rStyle w:val="FootnoteReference"/>
        </w:rPr>
        <w:footnoteRef/>
      </w:r>
      <w:r w:rsidRPr="00137014">
        <w:t xml:space="preserve"> These costs have been converted to economic costs and are only those attributable to GFCR grants, which are not always covering 100% of the project costs (other grant donors, private funding etc). They therefore will differ to financial cost estimates presented elsewhere.</w:t>
      </w:r>
    </w:p>
  </w:footnote>
  <w:footnote w:id="21">
    <w:p w:rsidR="007E54DC" w:rsidP="007E54DC" w:rsidRDefault="007E54DC" w14:paraId="7ED6AEC7" w14:textId="77777777">
      <w:pPr>
        <w:pStyle w:val="FootnoteText"/>
      </w:pPr>
      <w:r w:rsidRPr="00137014">
        <w:rPr>
          <w:rStyle w:val="FootnoteReference"/>
        </w:rPr>
        <w:footnoteRef/>
      </w:r>
      <w:r w:rsidRPr="00137014">
        <w:t xml:space="preserve"> Only coral impacts have been estimated for the Kenya Tanzania project, with others to be determined as the project is scoped out. This makes it a significant underestimate of potential benefits.</w:t>
      </w:r>
    </w:p>
  </w:footnote>
  <w:footnote w:id="22">
    <w:p w:rsidR="00C02880" w:rsidRDefault="00C02880" w14:paraId="293041B1" w14:textId="3118800A">
      <w:pPr>
        <w:pStyle w:val="FootnoteText"/>
      </w:pPr>
      <w:r>
        <w:rPr>
          <w:rStyle w:val="FootnoteReference"/>
        </w:rPr>
        <w:footnoteRef/>
      </w:r>
      <w:r>
        <w:t xml:space="preserve"> Noting this was down from £1:$1.39</w:t>
      </w:r>
      <w:r w:rsidR="00C269C6">
        <w:t xml:space="preserve"> in the original BC.</w:t>
      </w:r>
    </w:p>
  </w:footnote>
  <w:footnote w:id="23">
    <w:p w:rsidRPr="00EE2E62" w:rsidR="004F50C9" w:rsidP="00B11A18" w:rsidRDefault="004F50C9" w14:paraId="2EC47FF8" w14:textId="1496532C">
      <w:pPr>
        <w:spacing w:before="100" w:beforeAutospacing="1" w:after="100" w:afterAutospacing="1" w:line="240" w:lineRule="auto"/>
        <w:rPr>
          <w:rFonts w:eastAsia="Times New Roman"/>
          <w:sz w:val="16"/>
          <w:szCs w:val="16"/>
        </w:rPr>
      </w:pPr>
      <w:r w:rsidRPr="00EE2E62">
        <w:rPr>
          <w:rStyle w:val="FootnoteReference"/>
          <w:sz w:val="16"/>
          <w:szCs w:val="16"/>
        </w:rPr>
        <w:footnoteRef/>
      </w:r>
      <w:r w:rsidRPr="00EE2E62">
        <w:rPr>
          <w:sz w:val="16"/>
          <w:szCs w:val="16"/>
        </w:rPr>
        <w:t xml:space="preserve"> Benefits include having </w:t>
      </w:r>
      <w:r w:rsidRPr="00EE2E62" w:rsidR="00B11A18">
        <w:rPr>
          <w:sz w:val="16"/>
          <w:szCs w:val="16"/>
        </w:rPr>
        <w:t xml:space="preserve">a </w:t>
      </w:r>
      <w:r w:rsidRPr="00EE2E62" w:rsidR="00B11A18">
        <w:rPr>
          <w:rFonts w:eastAsia="Times New Roman"/>
          <w:sz w:val="16"/>
          <w:szCs w:val="16"/>
        </w:rPr>
        <w:t>significant</w:t>
      </w:r>
      <w:r w:rsidRPr="00EE2E62">
        <w:rPr>
          <w:rFonts w:eastAsia="Times New Roman"/>
          <w:sz w:val="16"/>
          <w:szCs w:val="16"/>
        </w:rPr>
        <w:t xml:space="preserve"> and visible leadership role with the UN and </w:t>
      </w:r>
      <w:r w:rsidRPr="00EE2E62" w:rsidR="007526A6">
        <w:rPr>
          <w:rFonts w:eastAsia="Times New Roman"/>
          <w:sz w:val="16"/>
          <w:szCs w:val="16"/>
        </w:rPr>
        <w:t>in the</w:t>
      </w:r>
      <w:r w:rsidRPr="00EE2E62">
        <w:rPr>
          <w:rFonts w:eastAsia="Times New Roman"/>
          <w:sz w:val="16"/>
          <w:szCs w:val="16"/>
        </w:rPr>
        <w:t xml:space="preserve"> coral reef, MPA and poverty alleviation</w:t>
      </w:r>
      <w:r w:rsidRPr="00EE2E62" w:rsidR="007526A6">
        <w:rPr>
          <w:rFonts w:eastAsia="Times New Roman"/>
          <w:sz w:val="16"/>
          <w:szCs w:val="16"/>
        </w:rPr>
        <w:t xml:space="preserve"> space, allowing us to </w:t>
      </w:r>
      <w:r w:rsidRPr="00EE2E62">
        <w:rPr>
          <w:rFonts w:eastAsia="Times New Roman"/>
          <w:sz w:val="16"/>
          <w:szCs w:val="16"/>
        </w:rPr>
        <w:t xml:space="preserve">push ahead with UK priorities. The role will also increase </w:t>
      </w:r>
      <w:r w:rsidRPr="00EE2E62" w:rsidR="00EE2E62">
        <w:rPr>
          <w:rFonts w:eastAsia="Times New Roman"/>
          <w:sz w:val="16"/>
          <w:szCs w:val="16"/>
        </w:rPr>
        <w:t>opportunities to</w:t>
      </w:r>
      <w:r w:rsidRPr="00EE2E62">
        <w:rPr>
          <w:rFonts w:eastAsia="Times New Roman"/>
          <w:sz w:val="16"/>
          <w:szCs w:val="16"/>
        </w:rPr>
        <w:t xml:space="preserve"> use UK leadership to leverage additional finance into GFCR</w:t>
      </w:r>
      <w:r w:rsidRPr="00EE2E62" w:rsidR="007526A6">
        <w:rPr>
          <w:rFonts w:eastAsia="Times New Roman"/>
          <w:sz w:val="16"/>
          <w:szCs w:val="16"/>
        </w:rPr>
        <w:t xml:space="preserve">, </w:t>
      </w:r>
      <w:r w:rsidRPr="00EE2E62">
        <w:rPr>
          <w:rFonts w:eastAsia="Times New Roman"/>
          <w:sz w:val="16"/>
          <w:szCs w:val="16"/>
        </w:rPr>
        <w:t>strengthen alignment and coordination with wider BPF funding and test new approaches, in addition influencing the MEL strategy</w:t>
      </w:r>
      <w:r w:rsidRPr="00EE2E62" w:rsidR="007526A6">
        <w:rPr>
          <w:rFonts w:eastAsia="Times New Roman"/>
          <w:sz w:val="16"/>
          <w:szCs w:val="16"/>
        </w:rPr>
        <w:t xml:space="preserve">, </w:t>
      </w:r>
      <w:r w:rsidRPr="00EE2E62">
        <w:rPr>
          <w:rFonts w:eastAsia="Times New Roman"/>
          <w:sz w:val="16"/>
          <w:szCs w:val="16"/>
        </w:rPr>
        <w:t xml:space="preserve">knowledge sharing and south-south collaboration. </w:t>
      </w:r>
    </w:p>
    <w:p w:rsidR="004F50C9" w:rsidRDefault="004F50C9" w14:paraId="025297D1" w14:textId="436E1FE4">
      <w:pPr>
        <w:pStyle w:val="FootnoteText"/>
      </w:pPr>
    </w:p>
  </w:footnote>
  <w:footnote w:id="24">
    <w:p w:rsidR="006E055F" w:rsidP="006E055F" w:rsidRDefault="006E055F" w14:paraId="71EA8EF4" w14:textId="77777777">
      <w:pPr>
        <w:pStyle w:val="FootnoteText"/>
      </w:pPr>
      <w:r>
        <w:rPr>
          <w:rStyle w:val="FootnoteReference"/>
        </w:rPr>
        <w:footnoteRef/>
      </w:r>
      <w:r>
        <w:t xml:space="preserve"> Excluded from appraisal as not ODA eligible so would not receive UK funding</w:t>
      </w:r>
    </w:p>
  </w:footnote>
  <w:footnote w:id="25">
    <w:p w:rsidR="24F5A62B" w:rsidP="24F5A62B" w:rsidRDefault="24F5A62B" w14:paraId="25728219" w14:textId="1D7C649F">
      <w:pPr>
        <w:pStyle w:val="FootnoteText"/>
      </w:pPr>
      <w:r w:rsidRPr="24F5A62B">
        <w:rPr>
          <w:rStyle w:val="FootnoteReference"/>
        </w:rPr>
        <w:footnoteRef/>
      </w:r>
      <w:r>
        <w:t xml:space="preserve"> The four Defra BPF outcomes are Illegal, Unreported and Unregulated (IUU) fishing, large scale fisheries, pollution, and marine protected areas (MPAs) and other effective conservation measures (OECMs). The GFCR sits under the MPA outcome.</w:t>
      </w:r>
    </w:p>
  </w:footnote>
  <w:footnote w:id="26">
    <w:p w:rsidR="00082768" w:rsidRDefault="00082768" w14:paraId="36E825EA" w14:textId="160A5D8E">
      <w:pPr>
        <w:pStyle w:val="FootnoteText"/>
      </w:pPr>
      <w:r>
        <w:rPr>
          <w:rStyle w:val="FootnoteReference"/>
        </w:rPr>
        <w:footnoteRef/>
      </w:r>
      <w:r>
        <w:t xml:space="preserve"> </w:t>
      </w:r>
      <w:r w:rsidRPr="00082768">
        <w:t>The GFCR</w:t>
      </w:r>
      <w:r>
        <w:t xml:space="preserve"> is a relatively new fund and as such has limited </w:t>
      </w:r>
      <w:r w:rsidRPr="00082768">
        <w:t>funds upfront</w:t>
      </w:r>
      <w:r>
        <w:t xml:space="preserve">; </w:t>
      </w:r>
      <w:r w:rsidRPr="00082768">
        <w:t>UN fund</w:t>
      </w:r>
      <w:r>
        <w:t xml:space="preserve">s </w:t>
      </w:r>
      <w:r w:rsidRPr="00082768">
        <w:t xml:space="preserve">require money in the bank before committing to partners and therefore </w:t>
      </w:r>
      <w:r>
        <w:t>Defra</w:t>
      </w:r>
      <w:r w:rsidRPr="00082768">
        <w:t xml:space="preserve"> will make payment in advance. The UN has an agreement in place with HMT to allow for this, and the UN MPTF are included in this exemption. The Defra financial regulation team have also approved payment in advance.   </w:t>
      </w:r>
    </w:p>
  </w:footnote>
  <w:footnote w:id="27">
    <w:p w:rsidR="004C53C8" w:rsidP="004C53C8" w:rsidRDefault="004C53C8" w14:paraId="1A54BA53" w14:textId="45C55683">
      <w:pPr>
        <w:pStyle w:val="FootnoteText"/>
      </w:pPr>
      <w:r w:rsidRPr="00F7616D">
        <w:rPr>
          <w:rStyle w:val="FootnoteReference"/>
        </w:rPr>
        <w:footnoteRef/>
      </w:r>
      <w:r w:rsidRPr="00F7616D">
        <w:t xml:space="preserve"> </w:t>
      </w:r>
      <w:hyperlink w:history="1" r:id="rId5">
        <w:r w:rsidRPr="00F7616D">
          <w:rPr>
            <w:rStyle w:val="Hyperlink"/>
          </w:rPr>
          <w:t>GFCR</w:t>
        </w:r>
        <w:r>
          <w:rPr>
            <w:rStyle w:val="Hyperlink"/>
          </w:rPr>
          <w:t xml:space="preserve"> </w:t>
        </w:r>
        <w:r w:rsidRPr="00F7616D">
          <w:rPr>
            <w:rStyle w:val="Hyperlink"/>
          </w:rPr>
          <w:t>Annual Financial Report 2021.pdf</w:t>
        </w:r>
      </w:hyperlink>
    </w:p>
  </w:footnote>
  <w:footnote w:id="28">
    <w:p w:rsidR="201F76B4" w:rsidP="201F76B4" w:rsidRDefault="201F76B4" w14:paraId="271CC84C" w14:textId="77777777">
      <w:pPr>
        <w:pStyle w:val="FootnoteText"/>
      </w:pPr>
      <w:r w:rsidRPr="201F76B4">
        <w:rPr>
          <w:rStyle w:val="FootnoteReference"/>
        </w:rPr>
        <w:footnoteRef/>
      </w:r>
      <w:r>
        <w:t xml:space="preserve"> </w:t>
      </w:r>
      <w:hyperlink r:id="rId6">
        <w:r w:rsidRPr="201F76B4">
          <w:rPr>
            <w:rStyle w:val="Hyperlink"/>
          </w:rPr>
          <w:t>https://www.mopanonline.org/assessments/undp2020/MOPAN%20Assessment%20UNDP%20report%20web%20%5bfor%20download%5d.pdf</w:t>
        </w:r>
      </w:hyperlink>
      <w:r>
        <w:t xml:space="preserve"> </w:t>
      </w:r>
    </w:p>
  </w:footnote>
  <w:footnote w:id="29">
    <w:p w:rsidR="00BF7454" w:rsidRDefault="00BF7454" w14:paraId="76998B56" w14:textId="2F8341AB">
      <w:pPr>
        <w:pStyle w:val="FootnoteText"/>
      </w:pPr>
      <w:r>
        <w:rPr>
          <w:rStyle w:val="FootnoteReference"/>
        </w:rPr>
        <w:footnoteRef/>
      </w:r>
      <w:r>
        <w:t xml:space="preserve"> </w:t>
      </w:r>
      <w:r w:rsidR="00CD76CC">
        <w:t>The Results Framework will be a core component of the Benefits Realisation Strategy</w:t>
      </w:r>
      <w:r w:rsidR="00A624AC">
        <w:t xml:space="preserve">, detailing evidence-led targets, </w:t>
      </w:r>
      <w:proofErr w:type="gramStart"/>
      <w:r w:rsidR="00A624AC">
        <w:t>owners</w:t>
      </w:r>
      <w:proofErr w:type="gramEnd"/>
      <w:r w:rsidR="00A624AC">
        <w:t xml:space="preserve"> and monitoring techniques. </w:t>
      </w:r>
    </w:p>
  </w:footnote>
  <w:footnote w:id="30">
    <w:p w:rsidR="007F53B3" w:rsidRDefault="007F53B3" w14:paraId="54469742" w14:textId="0428F0D4">
      <w:pPr>
        <w:pStyle w:val="FootnoteText"/>
      </w:pPr>
      <w:r>
        <w:rPr>
          <w:rStyle w:val="FootnoteReference"/>
        </w:rPr>
        <w:footnoteRef/>
      </w:r>
      <w:r>
        <w:t xml:space="preserve"> </w:t>
      </w:r>
      <w:r w:rsidRPr="007F53B3">
        <w:rPr>
          <w:rFonts w:cstheme="minorHAnsi"/>
          <w:color w:val="333333"/>
          <w:sz w:val="16"/>
          <w:szCs w:val="16"/>
        </w:rPr>
        <w:t>Sustainable Finance is the process of taking due account of environmental, social and governance (ESG) considerations when making investment decisions in the financial sector, leading to increased longer-term investments into sustainable economic activities and projects</w:t>
      </w:r>
    </w:p>
  </w:footnote>
  <w:footnote w:id="31">
    <w:p w:rsidR="00617245" w:rsidP="00617245" w:rsidRDefault="00617245" w14:paraId="5BCCBFE0" w14:textId="77777777">
      <w:pPr>
        <w:pStyle w:val="FootnoteText"/>
      </w:pPr>
      <w:r>
        <w:rPr>
          <w:rStyle w:val="FootnoteReference"/>
        </w:rPr>
        <w:footnoteRef/>
      </w:r>
      <w:r>
        <w:t xml:space="preserve"> The </w:t>
      </w:r>
      <w:proofErr w:type="spellStart"/>
      <w:r>
        <w:t>Logframe</w:t>
      </w:r>
      <w:proofErr w:type="spellEnd"/>
      <w:r>
        <w:t xml:space="preserve"> is also known as a Benefits Register, detailing information about desired outputs, </w:t>
      </w:r>
      <w:proofErr w:type="gramStart"/>
      <w:r>
        <w:t>outcomes</w:t>
      </w:r>
      <w:proofErr w:type="gramEnd"/>
      <w:r>
        <w:t xml:space="preserve"> and impacts (benefits profiles) such as the measure, baseline, target, frequency of measurement and associated risks and assumptions. The </w:t>
      </w:r>
      <w:proofErr w:type="spellStart"/>
      <w:r>
        <w:t>Logframe</w:t>
      </w:r>
      <w:proofErr w:type="spellEnd"/>
      <w:r>
        <w:t xml:space="preserve"> has been developed based on the Theory of Change (</w:t>
      </w:r>
      <w:proofErr w:type="spellStart"/>
      <w:r>
        <w:t>ToC</w:t>
      </w:r>
      <w:proofErr w:type="spellEnd"/>
      <w:r>
        <w:t xml:space="preserve">), also termed </w:t>
      </w:r>
      <w:r>
        <w:rPr>
          <w:rStyle w:val="normaltextrun"/>
          <w:rFonts w:ascii="Calibri" w:hAnsi="Calibri" w:cs="Calibri"/>
          <w:bdr w:val="none" w:color="auto" w:sz="0" w:space="0" w:frame="1"/>
        </w:rPr>
        <w:t>Benefits Map.</w:t>
      </w:r>
    </w:p>
  </w:footnote>
  <w:footnote w:id="32">
    <w:p w:rsidR="00867BCE" w:rsidP="00867BCE" w:rsidRDefault="00867BCE" w14:paraId="5D7B0D83" w14:textId="56CFB574">
      <w:pPr>
        <w:pStyle w:val="FootnoteText"/>
      </w:pPr>
      <w:r>
        <w:rPr>
          <w:rStyle w:val="FootnoteReference"/>
        </w:rPr>
        <w:footnoteRef/>
      </w:r>
      <w:r>
        <w:t xml:space="preserve"> </w:t>
      </w:r>
      <w:hyperlink w:history="1" r:id="rId7">
        <w:r w:rsidRPr="00EA69D8">
          <w:rPr>
            <w:rStyle w:val="Hyperlink"/>
          </w:rPr>
          <w:t>https://www.mopanonline.org/assessments/undp2020/MOPAN%20Assessment%20UNDP%20report%20web%20%5bfor%20download%5d.pdf</w:t>
        </w:r>
      </w:hyperlink>
      <w:r>
        <w:t xml:space="preserve"> </w:t>
      </w:r>
    </w:p>
  </w:footnote>
  <w:footnote w:id="33">
    <w:p w:rsidRPr="00B42016" w:rsidR="00867BCE" w:rsidP="00867BCE" w:rsidRDefault="00867BCE" w14:paraId="54C2455D" w14:textId="77777777">
      <w:pPr>
        <w:pStyle w:val="FootnoteText"/>
      </w:pPr>
      <w:r>
        <w:rPr>
          <w:rStyle w:val="FootnoteReference"/>
        </w:rPr>
        <w:footnoteRef/>
      </w:r>
      <w:r>
        <w:t xml:space="preserve"> </w:t>
      </w:r>
      <w:r w:rsidRPr="00B42016">
        <w:t> </w:t>
      </w:r>
      <w:r>
        <w:t>T</w:t>
      </w:r>
      <w:r w:rsidRPr="00B42016">
        <w:t>he GFCR has formali</w:t>
      </w:r>
      <w:r>
        <w:t>s</w:t>
      </w:r>
      <w:r w:rsidRPr="00B42016">
        <w:t xml:space="preserve">ed an Institutional Partnership with ORRAA to seek synergies through knowledge sharing, co-implementation and co-financing in common geographies and blue economy sectors. </w:t>
      </w:r>
      <w:r>
        <w:t>K</w:t>
      </w:r>
      <w:r w:rsidRPr="00B42016">
        <w:t>ey areas of collaboration include</w:t>
      </w:r>
      <w:r>
        <w:t xml:space="preserve"> u</w:t>
      </w:r>
      <w:r w:rsidRPr="00B42016">
        <w:t>ndertaking of research and development strategies to better analyse, predict and manage ocean risk</w:t>
      </w:r>
      <w:r>
        <w:t>, s</w:t>
      </w:r>
      <w:r w:rsidRPr="00B42016">
        <w:t>haring lessons learned and best practices on coral reef science, conservation, restoration, reef-positive livelihood opportunities and innovative finance</w:t>
      </w:r>
      <w:r>
        <w:t>, and j</w:t>
      </w:r>
      <w:r w:rsidRPr="00B42016">
        <w:t>oint exploration of co-implementation and co-financing opportunities</w:t>
      </w:r>
      <w:r>
        <w:t>.</w:t>
      </w:r>
    </w:p>
    <w:p w:rsidR="00867BCE" w:rsidP="00867BCE" w:rsidRDefault="00867BCE" w14:paraId="3BEBD468"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5D16" w:rsidP="00D15D16" w:rsidRDefault="00C92CBA" w14:paraId="57578EFC" w14:textId="1C703649">
    <w:pPr>
      <w:pStyle w:val="Header"/>
      <w:jc w:val="center"/>
    </w:pPr>
    <w:r>
      <w:t>Global Fund for Coral Reefs – Blue Planet Fund Business Case Addendum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125"/>
    <w:multiLevelType w:val="hybridMultilevel"/>
    <w:tmpl w:val="13EC8D72"/>
    <w:lvl w:ilvl="0" w:tplc="838E7A10">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507257"/>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785"/>
        </w:tabs>
        <w:ind w:left="785"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A4E0A9C"/>
    <w:multiLevelType w:val="hybridMultilevel"/>
    <w:tmpl w:val="62E8D2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6D110A"/>
    <w:multiLevelType w:val="multilevel"/>
    <w:tmpl w:val="C9CAD6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DA8CB9C"/>
    <w:multiLevelType w:val="hybridMultilevel"/>
    <w:tmpl w:val="4E90568C"/>
    <w:lvl w:ilvl="0" w:tplc="8BCEFE16">
      <w:start w:val="1"/>
      <w:numFmt w:val="bullet"/>
      <w:lvlText w:val="·"/>
      <w:lvlJc w:val="left"/>
      <w:pPr>
        <w:ind w:left="720" w:hanging="360"/>
      </w:pPr>
      <w:rPr>
        <w:rFonts w:hint="default" w:ascii="Symbol" w:hAnsi="Symbol"/>
      </w:rPr>
    </w:lvl>
    <w:lvl w:ilvl="1" w:tplc="08090001">
      <w:start w:val="1"/>
      <w:numFmt w:val="bullet"/>
      <w:lvlText w:val=""/>
      <w:lvlJc w:val="left"/>
      <w:pPr>
        <w:ind w:left="786" w:hanging="360"/>
      </w:pPr>
      <w:rPr>
        <w:rFonts w:hint="default" w:ascii="Symbol" w:hAnsi="Symbol"/>
      </w:rPr>
    </w:lvl>
    <w:lvl w:ilvl="2" w:tplc="C584CCF2">
      <w:start w:val="1"/>
      <w:numFmt w:val="bullet"/>
      <w:lvlText w:val=""/>
      <w:lvlJc w:val="left"/>
      <w:pPr>
        <w:ind w:left="2160" w:hanging="360"/>
      </w:pPr>
      <w:rPr>
        <w:rFonts w:hint="default" w:ascii="Wingdings" w:hAnsi="Wingdings"/>
      </w:rPr>
    </w:lvl>
    <w:lvl w:ilvl="3" w:tplc="06DA34DC">
      <w:start w:val="1"/>
      <w:numFmt w:val="bullet"/>
      <w:lvlText w:val=""/>
      <w:lvlJc w:val="left"/>
      <w:pPr>
        <w:ind w:left="2880" w:hanging="360"/>
      </w:pPr>
      <w:rPr>
        <w:rFonts w:hint="default" w:ascii="Symbol" w:hAnsi="Symbol"/>
      </w:rPr>
    </w:lvl>
    <w:lvl w:ilvl="4" w:tplc="3F7A8826">
      <w:start w:val="1"/>
      <w:numFmt w:val="bullet"/>
      <w:lvlText w:val="o"/>
      <w:lvlJc w:val="left"/>
      <w:pPr>
        <w:ind w:left="3600" w:hanging="360"/>
      </w:pPr>
      <w:rPr>
        <w:rFonts w:hint="default" w:ascii="Courier New" w:hAnsi="Courier New"/>
      </w:rPr>
    </w:lvl>
    <w:lvl w:ilvl="5" w:tplc="9E9A165E">
      <w:start w:val="1"/>
      <w:numFmt w:val="bullet"/>
      <w:lvlText w:val=""/>
      <w:lvlJc w:val="left"/>
      <w:pPr>
        <w:ind w:left="4320" w:hanging="360"/>
      </w:pPr>
      <w:rPr>
        <w:rFonts w:hint="default" w:ascii="Wingdings" w:hAnsi="Wingdings"/>
      </w:rPr>
    </w:lvl>
    <w:lvl w:ilvl="6" w:tplc="5C4C46A0">
      <w:start w:val="1"/>
      <w:numFmt w:val="bullet"/>
      <w:lvlText w:val=""/>
      <w:lvlJc w:val="left"/>
      <w:pPr>
        <w:ind w:left="5040" w:hanging="360"/>
      </w:pPr>
      <w:rPr>
        <w:rFonts w:hint="default" w:ascii="Symbol" w:hAnsi="Symbol"/>
      </w:rPr>
    </w:lvl>
    <w:lvl w:ilvl="7" w:tplc="D61817C0">
      <w:start w:val="1"/>
      <w:numFmt w:val="bullet"/>
      <w:lvlText w:val="o"/>
      <w:lvlJc w:val="left"/>
      <w:pPr>
        <w:ind w:left="5760" w:hanging="360"/>
      </w:pPr>
      <w:rPr>
        <w:rFonts w:hint="default" w:ascii="Courier New" w:hAnsi="Courier New"/>
      </w:rPr>
    </w:lvl>
    <w:lvl w:ilvl="8" w:tplc="6B900B08">
      <w:start w:val="1"/>
      <w:numFmt w:val="bullet"/>
      <w:lvlText w:val=""/>
      <w:lvlJc w:val="left"/>
      <w:pPr>
        <w:ind w:left="6480" w:hanging="360"/>
      </w:pPr>
      <w:rPr>
        <w:rFonts w:hint="default" w:ascii="Wingdings" w:hAnsi="Wingdings"/>
      </w:rPr>
    </w:lvl>
  </w:abstractNum>
  <w:abstractNum w:abstractNumId="5" w15:restartNumberingAfterBreak="0">
    <w:nsid w:val="0E1E3823"/>
    <w:multiLevelType w:val="hybridMultilevel"/>
    <w:tmpl w:val="C9B0E8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7F353B"/>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1524609"/>
    <w:multiLevelType w:val="hybridMultilevel"/>
    <w:tmpl w:val="C80E676E"/>
    <w:lvl w:ilvl="0" w:tplc="8640EE2E">
      <w:start w:val="1"/>
      <w:numFmt w:val="bullet"/>
      <w:lvlText w:val=""/>
      <w:lvlJc w:val="left"/>
      <w:pPr>
        <w:ind w:left="720" w:hanging="360"/>
      </w:pPr>
      <w:rPr>
        <w:rFonts w:hint="default" w:ascii="Symbol" w:hAnsi="Symbol"/>
      </w:rPr>
    </w:lvl>
    <w:lvl w:ilvl="1" w:tplc="DBE46C30">
      <w:start w:val="1"/>
      <w:numFmt w:val="bullet"/>
      <w:lvlText w:val="o"/>
      <w:lvlJc w:val="left"/>
      <w:pPr>
        <w:ind w:left="1440" w:hanging="360"/>
      </w:pPr>
      <w:rPr>
        <w:rFonts w:hint="default" w:ascii="Courier New" w:hAnsi="Courier New"/>
      </w:rPr>
    </w:lvl>
    <w:lvl w:ilvl="2" w:tplc="CA1E5396">
      <w:start w:val="1"/>
      <w:numFmt w:val="bullet"/>
      <w:lvlText w:val=""/>
      <w:lvlJc w:val="left"/>
      <w:pPr>
        <w:ind w:left="2160" w:hanging="360"/>
      </w:pPr>
      <w:rPr>
        <w:rFonts w:hint="default" w:ascii="Wingdings" w:hAnsi="Wingdings"/>
      </w:rPr>
    </w:lvl>
    <w:lvl w:ilvl="3" w:tplc="13D2AB94">
      <w:start w:val="1"/>
      <w:numFmt w:val="bullet"/>
      <w:lvlText w:val=""/>
      <w:lvlJc w:val="left"/>
      <w:pPr>
        <w:ind w:left="2880" w:hanging="360"/>
      </w:pPr>
      <w:rPr>
        <w:rFonts w:hint="default" w:ascii="Symbol" w:hAnsi="Symbol"/>
      </w:rPr>
    </w:lvl>
    <w:lvl w:ilvl="4" w:tplc="02A85976">
      <w:start w:val="1"/>
      <w:numFmt w:val="bullet"/>
      <w:lvlText w:val="o"/>
      <w:lvlJc w:val="left"/>
      <w:pPr>
        <w:ind w:left="3600" w:hanging="360"/>
      </w:pPr>
      <w:rPr>
        <w:rFonts w:hint="default" w:ascii="Courier New" w:hAnsi="Courier New"/>
      </w:rPr>
    </w:lvl>
    <w:lvl w:ilvl="5" w:tplc="9236AD66">
      <w:start w:val="1"/>
      <w:numFmt w:val="bullet"/>
      <w:lvlText w:val=""/>
      <w:lvlJc w:val="left"/>
      <w:pPr>
        <w:ind w:left="4320" w:hanging="360"/>
      </w:pPr>
      <w:rPr>
        <w:rFonts w:hint="default" w:ascii="Wingdings" w:hAnsi="Wingdings"/>
      </w:rPr>
    </w:lvl>
    <w:lvl w:ilvl="6" w:tplc="C0BC6BD0">
      <w:start w:val="1"/>
      <w:numFmt w:val="bullet"/>
      <w:lvlText w:val=""/>
      <w:lvlJc w:val="left"/>
      <w:pPr>
        <w:ind w:left="5040" w:hanging="360"/>
      </w:pPr>
      <w:rPr>
        <w:rFonts w:hint="default" w:ascii="Symbol" w:hAnsi="Symbol"/>
      </w:rPr>
    </w:lvl>
    <w:lvl w:ilvl="7" w:tplc="86B43296">
      <w:start w:val="1"/>
      <w:numFmt w:val="bullet"/>
      <w:lvlText w:val="o"/>
      <w:lvlJc w:val="left"/>
      <w:pPr>
        <w:ind w:left="5760" w:hanging="360"/>
      </w:pPr>
      <w:rPr>
        <w:rFonts w:hint="default" w:ascii="Courier New" w:hAnsi="Courier New"/>
      </w:rPr>
    </w:lvl>
    <w:lvl w:ilvl="8" w:tplc="2946AFB0">
      <w:start w:val="1"/>
      <w:numFmt w:val="bullet"/>
      <w:lvlText w:val=""/>
      <w:lvlJc w:val="left"/>
      <w:pPr>
        <w:ind w:left="6480" w:hanging="360"/>
      </w:pPr>
      <w:rPr>
        <w:rFonts w:hint="default" w:ascii="Wingdings" w:hAnsi="Wingdings"/>
      </w:rPr>
    </w:lvl>
  </w:abstractNum>
  <w:abstractNum w:abstractNumId="8" w15:restartNumberingAfterBreak="0">
    <w:nsid w:val="17FD03A1"/>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CF51991"/>
    <w:multiLevelType w:val="hybridMultilevel"/>
    <w:tmpl w:val="ED5ED9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4B4404F"/>
    <w:multiLevelType w:val="hybridMultilevel"/>
    <w:tmpl w:val="D3D04C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61D77B7"/>
    <w:multiLevelType w:val="hybridMultilevel"/>
    <w:tmpl w:val="6CA22198"/>
    <w:lvl w:ilvl="0" w:tplc="3A6CA2A4">
      <w:start w:val="1"/>
      <w:numFmt w:val="bullet"/>
      <w:lvlText w:val="·"/>
      <w:lvlJc w:val="left"/>
      <w:pPr>
        <w:ind w:left="720" w:hanging="360"/>
      </w:pPr>
      <w:rPr>
        <w:rFonts w:hint="default" w:ascii="Symbol" w:hAnsi="Symbol"/>
      </w:rPr>
    </w:lvl>
    <w:lvl w:ilvl="1" w:tplc="0B062C3C">
      <w:start w:val="1"/>
      <w:numFmt w:val="bullet"/>
      <w:lvlText w:val="o"/>
      <w:lvlJc w:val="left"/>
      <w:pPr>
        <w:ind w:left="1440" w:hanging="360"/>
      </w:pPr>
      <w:rPr>
        <w:rFonts w:hint="default" w:ascii="Courier New" w:hAnsi="Courier New"/>
      </w:rPr>
    </w:lvl>
    <w:lvl w:ilvl="2" w:tplc="7DCA4A30">
      <w:start w:val="1"/>
      <w:numFmt w:val="bullet"/>
      <w:lvlText w:val=""/>
      <w:lvlJc w:val="left"/>
      <w:pPr>
        <w:ind w:left="2160" w:hanging="360"/>
      </w:pPr>
      <w:rPr>
        <w:rFonts w:hint="default" w:ascii="Wingdings" w:hAnsi="Wingdings"/>
      </w:rPr>
    </w:lvl>
    <w:lvl w:ilvl="3" w:tplc="A1E2F096">
      <w:start w:val="1"/>
      <w:numFmt w:val="bullet"/>
      <w:lvlText w:val=""/>
      <w:lvlJc w:val="left"/>
      <w:pPr>
        <w:ind w:left="2880" w:hanging="360"/>
      </w:pPr>
      <w:rPr>
        <w:rFonts w:hint="default" w:ascii="Symbol" w:hAnsi="Symbol"/>
      </w:rPr>
    </w:lvl>
    <w:lvl w:ilvl="4" w:tplc="601A1D82">
      <w:start w:val="1"/>
      <w:numFmt w:val="bullet"/>
      <w:lvlText w:val="o"/>
      <w:lvlJc w:val="left"/>
      <w:pPr>
        <w:ind w:left="3600" w:hanging="360"/>
      </w:pPr>
      <w:rPr>
        <w:rFonts w:hint="default" w:ascii="Courier New" w:hAnsi="Courier New"/>
      </w:rPr>
    </w:lvl>
    <w:lvl w:ilvl="5" w:tplc="5772378A">
      <w:start w:val="1"/>
      <w:numFmt w:val="bullet"/>
      <w:lvlText w:val=""/>
      <w:lvlJc w:val="left"/>
      <w:pPr>
        <w:ind w:left="4320" w:hanging="360"/>
      </w:pPr>
      <w:rPr>
        <w:rFonts w:hint="default" w:ascii="Wingdings" w:hAnsi="Wingdings"/>
      </w:rPr>
    </w:lvl>
    <w:lvl w:ilvl="6" w:tplc="0F9C54BC">
      <w:start w:val="1"/>
      <w:numFmt w:val="bullet"/>
      <w:lvlText w:val=""/>
      <w:lvlJc w:val="left"/>
      <w:pPr>
        <w:ind w:left="5040" w:hanging="360"/>
      </w:pPr>
      <w:rPr>
        <w:rFonts w:hint="default" w:ascii="Symbol" w:hAnsi="Symbol"/>
      </w:rPr>
    </w:lvl>
    <w:lvl w:ilvl="7" w:tplc="2E6660BC">
      <w:start w:val="1"/>
      <w:numFmt w:val="bullet"/>
      <w:lvlText w:val="o"/>
      <w:lvlJc w:val="left"/>
      <w:pPr>
        <w:ind w:left="5760" w:hanging="360"/>
      </w:pPr>
      <w:rPr>
        <w:rFonts w:hint="default" w:ascii="Courier New" w:hAnsi="Courier New"/>
      </w:rPr>
    </w:lvl>
    <w:lvl w:ilvl="8" w:tplc="8DF09160">
      <w:start w:val="1"/>
      <w:numFmt w:val="bullet"/>
      <w:lvlText w:val=""/>
      <w:lvlJc w:val="left"/>
      <w:pPr>
        <w:ind w:left="6480" w:hanging="360"/>
      </w:pPr>
      <w:rPr>
        <w:rFonts w:hint="default" w:ascii="Wingdings" w:hAnsi="Wingdings"/>
      </w:rPr>
    </w:lvl>
  </w:abstractNum>
  <w:abstractNum w:abstractNumId="12" w15:restartNumberingAfterBreak="0">
    <w:nsid w:val="2736713E"/>
    <w:multiLevelType w:val="hybridMultilevel"/>
    <w:tmpl w:val="48F8D7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8AC08CA"/>
    <w:multiLevelType w:val="hybridMultilevel"/>
    <w:tmpl w:val="9064F2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C660A65"/>
    <w:multiLevelType w:val="hybridMultilevel"/>
    <w:tmpl w:val="700C00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C6D1F47"/>
    <w:multiLevelType w:val="hybridMultilevel"/>
    <w:tmpl w:val="486A6C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0DFE693"/>
    <w:multiLevelType w:val="hybridMultilevel"/>
    <w:tmpl w:val="99EEEF56"/>
    <w:lvl w:ilvl="0" w:tplc="4C2A4CCA">
      <w:start w:val="1"/>
      <w:numFmt w:val="bullet"/>
      <w:lvlText w:val=""/>
      <w:lvlJc w:val="left"/>
      <w:pPr>
        <w:ind w:left="720" w:hanging="360"/>
      </w:pPr>
      <w:rPr>
        <w:rFonts w:hint="default" w:ascii="Symbol" w:hAnsi="Symbol"/>
      </w:rPr>
    </w:lvl>
    <w:lvl w:ilvl="1" w:tplc="6AF83F92">
      <w:start w:val="1"/>
      <w:numFmt w:val="bullet"/>
      <w:lvlText w:val="o"/>
      <w:lvlJc w:val="left"/>
      <w:pPr>
        <w:ind w:left="1440" w:hanging="360"/>
      </w:pPr>
      <w:rPr>
        <w:rFonts w:hint="default" w:ascii="Courier New" w:hAnsi="Courier New"/>
      </w:rPr>
    </w:lvl>
    <w:lvl w:ilvl="2" w:tplc="5276112A">
      <w:start w:val="1"/>
      <w:numFmt w:val="bullet"/>
      <w:lvlText w:val=""/>
      <w:lvlJc w:val="left"/>
      <w:pPr>
        <w:ind w:left="2160" w:hanging="360"/>
      </w:pPr>
      <w:rPr>
        <w:rFonts w:hint="default" w:ascii="Wingdings" w:hAnsi="Wingdings"/>
      </w:rPr>
    </w:lvl>
    <w:lvl w:ilvl="3" w:tplc="CD2EFE02">
      <w:start w:val="1"/>
      <w:numFmt w:val="bullet"/>
      <w:lvlText w:val=""/>
      <w:lvlJc w:val="left"/>
      <w:pPr>
        <w:ind w:left="2880" w:hanging="360"/>
      </w:pPr>
      <w:rPr>
        <w:rFonts w:hint="default" w:ascii="Symbol" w:hAnsi="Symbol"/>
      </w:rPr>
    </w:lvl>
    <w:lvl w:ilvl="4" w:tplc="2C5A0886">
      <w:start w:val="1"/>
      <w:numFmt w:val="bullet"/>
      <w:lvlText w:val="o"/>
      <w:lvlJc w:val="left"/>
      <w:pPr>
        <w:ind w:left="3600" w:hanging="360"/>
      </w:pPr>
      <w:rPr>
        <w:rFonts w:hint="default" w:ascii="Courier New" w:hAnsi="Courier New"/>
      </w:rPr>
    </w:lvl>
    <w:lvl w:ilvl="5" w:tplc="80A6D428">
      <w:start w:val="1"/>
      <w:numFmt w:val="bullet"/>
      <w:lvlText w:val=""/>
      <w:lvlJc w:val="left"/>
      <w:pPr>
        <w:ind w:left="4320" w:hanging="360"/>
      </w:pPr>
      <w:rPr>
        <w:rFonts w:hint="default" w:ascii="Wingdings" w:hAnsi="Wingdings"/>
      </w:rPr>
    </w:lvl>
    <w:lvl w:ilvl="6" w:tplc="7A1A9D58">
      <w:start w:val="1"/>
      <w:numFmt w:val="bullet"/>
      <w:lvlText w:val=""/>
      <w:lvlJc w:val="left"/>
      <w:pPr>
        <w:ind w:left="5040" w:hanging="360"/>
      </w:pPr>
      <w:rPr>
        <w:rFonts w:hint="default" w:ascii="Symbol" w:hAnsi="Symbol"/>
      </w:rPr>
    </w:lvl>
    <w:lvl w:ilvl="7" w:tplc="C14AE68E">
      <w:start w:val="1"/>
      <w:numFmt w:val="bullet"/>
      <w:lvlText w:val="o"/>
      <w:lvlJc w:val="left"/>
      <w:pPr>
        <w:ind w:left="5760" w:hanging="360"/>
      </w:pPr>
      <w:rPr>
        <w:rFonts w:hint="default" w:ascii="Courier New" w:hAnsi="Courier New"/>
      </w:rPr>
    </w:lvl>
    <w:lvl w:ilvl="8" w:tplc="836C5666">
      <w:start w:val="1"/>
      <w:numFmt w:val="bullet"/>
      <w:lvlText w:val=""/>
      <w:lvlJc w:val="left"/>
      <w:pPr>
        <w:ind w:left="6480" w:hanging="360"/>
      </w:pPr>
      <w:rPr>
        <w:rFonts w:hint="default" w:ascii="Wingdings" w:hAnsi="Wingdings"/>
      </w:rPr>
    </w:lvl>
  </w:abstractNum>
  <w:abstractNum w:abstractNumId="17" w15:restartNumberingAfterBreak="0">
    <w:nsid w:val="31EC57E7"/>
    <w:multiLevelType w:val="hybridMultilevel"/>
    <w:tmpl w:val="FE024648"/>
    <w:lvl w:ilvl="0" w:tplc="08090001">
      <w:start w:val="1"/>
      <w:numFmt w:val="bullet"/>
      <w:pStyle w:val="BCNormalparanum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580B905"/>
    <w:multiLevelType w:val="hybridMultilevel"/>
    <w:tmpl w:val="45C4FF0A"/>
    <w:lvl w:ilvl="0" w:tplc="B05415CE">
      <w:start w:val="1"/>
      <w:numFmt w:val="bullet"/>
      <w:lvlText w:val=""/>
      <w:lvlJc w:val="left"/>
      <w:pPr>
        <w:ind w:left="720" w:hanging="360"/>
      </w:pPr>
      <w:rPr>
        <w:rFonts w:hint="default" w:ascii="Symbol" w:hAnsi="Symbol"/>
      </w:rPr>
    </w:lvl>
    <w:lvl w:ilvl="1" w:tplc="C8E80040">
      <w:start w:val="1"/>
      <w:numFmt w:val="bullet"/>
      <w:lvlText w:val="o"/>
      <w:lvlJc w:val="left"/>
      <w:pPr>
        <w:ind w:left="1440" w:hanging="360"/>
      </w:pPr>
      <w:rPr>
        <w:rFonts w:hint="default" w:ascii="Courier New" w:hAnsi="Courier New"/>
      </w:rPr>
    </w:lvl>
    <w:lvl w:ilvl="2" w:tplc="ECC4DD1A">
      <w:start w:val="1"/>
      <w:numFmt w:val="bullet"/>
      <w:lvlText w:val=""/>
      <w:lvlJc w:val="left"/>
      <w:pPr>
        <w:ind w:left="2160" w:hanging="360"/>
      </w:pPr>
      <w:rPr>
        <w:rFonts w:hint="default" w:ascii="Symbol" w:hAnsi="Symbol"/>
      </w:rPr>
    </w:lvl>
    <w:lvl w:ilvl="3" w:tplc="E0803198">
      <w:start w:val="1"/>
      <w:numFmt w:val="bullet"/>
      <w:lvlText w:val=""/>
      <w:lvlJc w:val="left"/>
      <w:pPr>
        <w:ind w:left="2880" w:hanging="360"/>
      </w:pPr>
      <w:rPr>
        <w:rFonts w:hint="default" w:ascii="Symbol" w:hAnsi="Symbol"/>
      </w:rPr>
    </w:lvl>
    <w:lvl w:ilvl="4" w:tplc="F22C4676">
      <w:start w:val="1"/>
      <w:numFmt w:val="bullet"/>
      <w:lvlText w:val="o"/>
      <w:lvlJc w:val="left"/>
      <w:pPr>
        <w:ind w:left="3600" w:hanging="360"/>
      </w:pPr>
      <w:rPr>
        <w:rFonts w:hint="default" w:ascii="Courier New" w:hAnsi="Courier New"/>
      </w:rPr>
    </w:lvl>
    <w:lvl w:ilvl="5" w:tplc="A7F6FAE6">
      <w:start w:val="1"/>
      <w:numFmt w:val="bullet"/>
      <w:lvlText w:val=""/>
      <w:lvlJc w:val="left"/>
      <w:pPr>
        <w:ind w:left="4320" w:hanging="360"/>
      </w:pPr>
      <w:rPr>
        <w:rFonts w:hint="default" w:ascii="Wingdings" w:hAnsi="Wingdings"/>
      </w:rPr>
    </w:lvl>
    <w:lvl w:ilvl="6" w:tplc="FE42C50A">
      <w:start w:val="1"/>
      <w:numFmt w:val="bullet"/>
      <w:lvlText w:val=""/>
      <w:lvlJc w:val="left"/>
      <w:pPr>
        <w:ind w:left="5040" w:hanging="360"/>
      </w:pPr>
      <w:rPr>
        <w:rFonts w:hint="default" w:ascii="Symbol" w:hAnsi="Symbol"/>
      </w:rPr>
    </w:lvl>
    <w:lvl w:ilvl="7" w:tplc="8702D150">
      <w:start w:val="1"/>
      <w:numFmt w:val="bullet"/>
      <w:lvlText w:val="o"/>
      <w:lvlJc w:val="left"/>
      <w:pPr>
        <w:ind w:left="5760" w:hanging="360"/>
      </w:pPr>
      <w:rPr>
        <w:rFonts w:hint="default" w:ascii="Courier New" w:hAnsi="Courier New"/>
      </w:rPr>
    </w:lvl>
    <w:lvl w:ilvl="8" w:tplc="9978F59A">
      <w:start w:val="1"/>
      <w:numFmt w:val="bullet"/>
      <w:lvlText w:val=""/>
      <w:lvlJc w:val="left"/>
      <w:pPr>
        <w:ind w:left="6480" w:hanging="360"/>
      </w:pPr>
      <w:rPr>
        <w:rFonts w:hint="default" w:ascii="Wingdings" w:hAnsi="Wingdings"/>
      </w:rPr>
    </w:lvl>
  </w:abstractNum>
  <w:abstractNum w:abstractNumId="19" w15:restartNumberingAfterBreak="0">
    <w:nsid w:val="3DF35874"/>
    <w:multiLevelType w:val="hybridMultilevel"/>
    <w:tmpl w:val="38E63C5C"/>
    <w:lvl w:ilvl="0" w:tplc="08090001">
      <w:start w:val="1"/>
      <w:numFmt w:val="bullet"/>
      <w:lvlText w:val=""/>
      <w:lvlJc w:val="left"/>
      <w:pPr>
        <w:ind w:left="405"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2A865BB"/>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785"/>
        </w:tabs>
        <w:ind w:left="785"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4389EFAA"/>
    <w:multiLevelType w:val="hybridMultilevel"/>
    <w:tmpl w:val="FFFFFFFF"/>
    <w:lvl w:ilvl="0" w:tplc="C3F4F84C">
      <w:start w:val="1"/>
      <w:numFmt w:val="bullet"/>
      <w:lvlText w:val=""/>
      <w:lvlJc w:val="left"/>
      <w:pPr>
        <w:ind w:left="720" w:hanging="360"/>
      </w:pPr>
      <w:rPr>
        <w:rFonts w:hint="default" w:ascii="Symbol" w:hAnsi="Symbol"/>
      </w:rPr>
    </w:lvl>
    <w:lvl w:ilvl="1" w:tplc="367E01C2">
      <w:start w:val="1"/>
      <w:numFmt w:val="bullet"/>
      <w:lvlText w:val="o"/>
      <w:lvlJc w:val="left"/>
      <w:pPr>
        <w:ind w:left="1440" w:hanging="360"/>
      </w:pPr>
      <w:rPr>
        <w:rFonts w:hint="default" w:ascii="Courier New" w:hAnsi="Courier New"/>
      </w:rPr>
    </w:lvl>
    <w:lvl w:ilvl="2" w:tplc="C3787018">
      <w:start w:val="1"/>
      <w:numFmt w:val="bullet"/>
      <w:lvlText w:val=""/>
      <w:lvlJc w:val="left"/>
      <w:pPr>
        <w:ind w:left="927" w:hanging="360"/>
      </w:pPr>
      <w:rPr>
        <w:rFonts w:hint="default" w:ascii="Symbol" w:hAnsi="Symbol"/>
      </w:rPr>
    </w:lvl>
    <w:lvl w:ilvl="3" w:tplc="DEFE6E7E">
      <w:start w:val="1"/>
      <w:numFmt w:val="bullet"/>
      <w:lvlText w:val=""/>
      <w:lvlJc w:val="left"/>
      <w:pPr>
        <w:ind w:left="2880" w:hanging="360"/>
      </w:pPr>
      <w:rPr>
        <w:rFonts w:hint="default" w:ascii="Symbol" w:hAnsi="Symbol"/>
      </w:rPr>
    </w:lvl>
    <w:lvl w:ilvl="4" w:tplc="557CCCBE">
      <w:start w:val="1"/>
      <w:numFmt w:val="bullet"/>
      <w:lvlText w:val="o"/>
      <w:lvlJc w:val="left"/>
      <w:pPr>
        <w:ind w:left="3600" w:hanging="360"/>
      </w:pPr>
      <w:rPr>
        <w:rFonts w:hint="default" w:ascii="Courier New" w:hAnsi="Courier New"/>
      </w:rPr>
    </w:lvl>
    <w:lvl w:ilvl="5" w:tplc="370660C8">
      <w:start w:val="1"/>
      <w:numFmt w:val="bullet"/>
      <w:lvlText w:val=""/>
      <w:lvlJc w:val="left"/>
      <w:pPr>
        <w:ind w:left="4320" w:hanging="360"/>
      </w:pPr>
      <w:rPr>
        <w:rFonts w:hint="default" w:ascii="Wingdings" w:hAnsi="Wingdings"/>
      </w:rPr>
    </w:lvl>
    <w:lvl w:ilvl="6" w:tplc="5A8E8584">
      <w:start w:val="1"/>
      <w:numFmt w:val="bullet"/>
      <w:lvlText w:val=""/>
      <w:lvlJc w:val="left"/>
      <w:pPr>
        <w:ind w:left="5040" w:hanging="360"/>
      </w:pPr>
      <w:rPr>
        <w:rFonts w:hint="default" w:ascii="Symbol" w:hAnsi="Symbol"/>
      </w:rPr>
    </w:lvl>
    <w:lvl w:ilvl="7" w:tplc="7B34F9A4">
      <w:start w:val="1"/>
      <w:numFmt w:val="bullet"/>
      <w:lvlText w:val="o"/>
      <w:lvlJc w:val="left"/>
      <w:pPr>
        <w:ind w:left="5760" w:hanging="360"/>
      </w:pPr>
      <w:rPr>
        <w:rFonts w:hint="default" w:ascii="Courier New" w:hAnsi="Courier New"/>
      </w:rPr>
    </w:lvl>
    <w:lvl w:ilvl="8" w:tplc="B9EC02F4">
      <w:start w:val="1"/>
      <w:numFmt w:val="bullet"/>
      <w:lvlText w:val=""/>
      <w:lvlJc w:val="left"/>
      <w:pPr>
        <w:ind w:left="6480" w:hanging="360"/>
      </w:pPr>
      <w:rPr>
        <w:rFonts w:hint="default" w:ascii="Wingdings" w:hAnsi="Wingdings"/>
      </w:rPr>
    </w:lvl>
  </w:abstractNum>
  <w:abstractNum w:abstractNumId="22" w15:restartNumberingAfterBreak="0">
    <w:nsid w:val="460207A2"/>
    <w:multiLevelType w:val="hybridMultilevel"/>
    <w:tmpl w:val="F27C1938"/>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3" w15:restartNumberingAfterBreak="0">
    <w:nsid w:val="468B04B2"/>
    <w:multiLevelType w:val="hybridMultilevel"/>
    <w:tmpl w:val="C54CAC0E"/>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24" w15:restartNumberingAfterBreak="0">
    <w:nsid w:val="47804EA2"/>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9D24440"/>
    <w:multiLevelType w:val="hybridMultilevel"/>
    <w:tmpl w:val="C7F46AB8"/>
    <w:lvl w:ilvl="0" w:tplc="F92E1BE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A276D49"/>
    <w:multiLevelType w:val="hybridMultilevel"/>
    <w:tmpl w:val="A77850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FE4192B"/>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644"/>
        </w:tabs>
        <w:ind w:left="644"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50EA6475"/>
    <w:multiLevelType w:val="hybridMultilevel"/>
    <w:tmpl w:val="43D4A59E"/>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9" w15:restartNumberingAfterBreak="0">
    <w:nsid w:val="53C440C9"/>
    <w:multiLevelType w:val="hybridMultilevel"/>
    <w:tmpl w:val="22AEE3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4ED5D2F"/>
    <w:multiLevelType w:val="hybridMultilevel"/>
    <w:tmpl w:val="224644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AAD7229"/>
    <w:multiLevelType w:val="hybridMultilevel"/>
    <w:tmpl w:val="0E8665EC"/>
    <w:lvl w:ilvl="0" w:tplc="C1C8BE5A">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A27251"/>
    <w:multiLevelType w:val="hybridMultilevel"/>
    <w:tmpl w:val="D49AB0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65F4B489"/>
    <w:multiLevelType w:val="hybridMultilevel"/>
    <w:tmpl w:val="591AB24A"/>
    <w:lvl w:ilvl="0" w:tplc="58982872">
      <w:start w:val="1"/>
      <w:numFmt w:val="bullet"/>
      <w:lvlText w:val=""/>
      <w:lvlJc w:val="left"/>
      <w:pPr>
        <w:ind w:left="720" w:hanging="360"/>
      </w:pPr>
      <w:rPr>
        <w:rFonts w:hint="default" w:ascii="Symbol" w:hAnsi="Symbol"/>
      </w:rPr>
    </w:lvl>
    <w:lvl w:ilvl="1" w:tplc="20687CBE">
      <w:start w:val="1"/>
      <w:numFmt w:val="bullet"/>
      <w:lvlText w:val="o"/>
      <w:lvlJc w:val="left"/>
      <w:pPr>
        <w:ind w:left="1440" w:hanging="360"/>
      </w:pPr>
      <w:rPr>
        <w:rFonts w:hint="default" w:ascii="Courier New" w:hAnsi="Courier New"/>
      </w:rPr>
    </w:lvl>
    <w:lvl w:ilvl="2" w:tplc="FD4CF020">
      <w:start w:val="1"/>
      <w:numFmt w:val="bullet"/>
      <w:lvlText w:val=""/>
      <w:lvlJc w:val="left"/>
      <w:pPr>
        <w:ind w:left="2160" w:hanging="360"/>
      </w:pPr>
      <w:rPr>
        <w:rFonts w:hint="default" w:ascii="Wingdings" w:hAnsi="Wingdings"/>
      </w:rPr>
    </w:lvl>
    <w:lvl w:ilvl="3" w:tplc="AC2C9A30">
      <w:start w:val="1"/>
      <w:numFmt w:val="bullet"/>
      <w:lvlText w:val=""/>
      <w:lvlJc w:val="left"/>
      <w:pPr>
        <w:ind w:left="2880" w:hanging="360"/>
      </w:pPr>
      <w:rPr>
        <w:rFonts w:hint="default" w:ascii="Symbol" w:hAnsi="Symbol"/>
      </w:rPr>
    </w:lvl>
    <w:lvl w:ilvl="4" w:tplc="CF6A9E8C">
      <w:start w:val="1"/>
      <w:numFmt w:val="bullet"/>
      <w:lvlText w:val="o"/>
      <w:lvlJc w:val="left"/>
      <w:pPr>
        <w:ind w:left="3600" w:hanging="360"/>
      </w:pPr>
      <w:rPr>
        <w:rFonts w:hint="default" w:ascii="Courier New" w:hAnsi="Courier New"/>
      </w:rPr>
    </w:lvl>
    <w:lvl w:ilvl="5" w:tplc="FB0CB37E">
      <w:start w:val="1"/>
      <w:numFmt w:val="bullet"/>
      <w:lvlText w:val=""/>
      <w:lvlJc w:val="left"/>
      <w:pPr>
        <w:ind w:left="4320" w:hanging="360"/>
      </w:pPr>
      <w:rPr>
        <w:rFonts w:hint="default" w:ascii="Wingdings" w:hAnsi="Wingdings"/>
      </w:rPr>
    </w:lvl>
    <w:lvl w:ilvl="6" w:tplc="723E12A6">
      <w:start w:val="1"/>
      <w:numFmt w:val="bullet"/>
      <w:lvlText w:val=""/>
      <w:lvlJc w:val="left"/>
      <w:pPr>
        <w:ind w:left="5040" w:hanging="360"/>
      </w:pPr>
      <w:rPr>
        <w:rFonts w:hint="default" w:ascii="Symbol" w:hAnsi="Symbol"/>
      </w:rPr>
    </w:lvl>
    <w:lvl w:ilvl="7" w:tplc="BC849D04">
      <w:start w:val="1"/>
      <w:numFmt w:val="bullet"/>
      <w:lvlText w:val="o"/>
      <w:lvlJc w:val="left"/>
      <w:pPr>
        <w:ind w:left="5760" w:hanging="360"/>
      </w:pPr>
      <w:rPr>
        <w:rFonts w:hint="default" w:ascii="Courier New" w:hAnsi="Courier New"/>
      </w:rPr>
    </w:lvl>
    <w:lvl w:ilvl="8" w:tplc="2E20DBAC">
      <w:start w:val="1"/>
      <w:numFmt w:val="bullet"/>
      <w:lvlText w:val=""/>
      <w:lvlJc w:val="left"/>
      <w:pPr>
        <w:ind w:left="6480" w:hanging="360"/>
      </w:pPr>
      <w:rPr>
        <w:rFonts w:hint="default" w:ascii="Wingdings" w:hAnsi="Wingdings"/>
      </w:rPr>
    </w:lvl>
  </w:abstractNum>
  <w:abstractNum w:abstractNumId="34" w15:restartNumberingAfterBreak="0">
    <w:nsid w:val="66E07616"/>
    <w:multiLevelType w:val="multilevel"/>
    <w:tmpl w:val="F82673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68B24E69"/>
    <w:multiLevelType w:val="hybridMultilevel"/>
    <w:tmpl w:val="FFFFFFFF"/>
    <w:lvl w:ilvl="0" w:tplc="36CE079A">
      <w:start w:val="1"/>
      <w:numFmt w:val="bullet"/>
      <w:lvlText w:val=""/>
      <w:lvlJc w:val="left"/>
      <w:pPr>
        <w:ind w:left="720" w:hanging="360"/>
      </w:pPr>
      <w:rPr>
        <w:rFonts w:hint="default" w:ascii="Symbol" w:hAnsi="Symbol"/>
      </w:rPr>
    </w:lvl>
    <w:lvl w:ilvl="1" w:tplc="13261A0E">
      <w:start w:val="1"/>
      <w:numFmt w:val="bullet"/>
      <w:lvlText w:val="o"/>
      <w:lvlJc w:val="left"/>
      <w:pPr>
        <w:ind w:left="1440" w:hanging="360"/>
      </w:pPr>
      <w:rPr>
        <w:rFonts w:hint="default" w:ascii="Courier New" w:hAnsi="Courier New"/>
      </w:rPr>
    </w:lvl>
    <w:lvl w:ilvl="2" w:tplc="E66EB70C">
      <w:start w:val="1"/>
      <w:numFmt w:val="bullet"/>
      <w:lvlText w:val=""/>
      <w:lvlJc w:val="left"/>
      <w:pPr>
        <w:ind w:left="2160" w:hanging="360"/>
      </w:pPr>
      <w:rPr>
        <w:rFonts w:hint="default" w:ascii="Wingdings" w:hAnsi="Wingdings"/>
      </w:rPr>
    </w:lvl>
    <w:lvl w:ilvl="3" w:tplc="E64A38A6">
      <w:start w:val="1"/>
      <w:numFmt w:val="bullet"/>
      <w:lvlText w:val=""/>
      <w:lvlJc w:val="left"/>
      <w:pPr>
        <w:ind w:left="2880" w:hanging="360"/>
      </w:pPr>
      <w:rPr>
        <w:rFonts w:hint="default" w:ascii="Symbol" w:hAnsi="Symbol"/>
      </w:rPr>
    </w:lvl>
    <w:lvl w:ilvl="4" w:tplc="C2D62BCE">
      <w:start w:val="1"/>
      <w:numFmt w:val="bullet"/>
      <w:lvlText w:val="o"/>
      <w:lvlJc w:val="left"/>
      <w:pPr>
        <w:ind w:left="3600" w:hanging="360"/>
      </w:pPr>
      <w:rPr>
        <w:rFonts w:hint="default" w:ascii="Courier New" w:hAnsi="Courier New"/>
      </w:rPr>
    </w:lvl>
    <w:lvl w:ilvl="5" w:tplc="F8CEA116">
      <w:start w:val="1"/>
      <w:numFmt w:val="bullet"/>
      <w:lvlText w:val=""/>
      <w:lvlJc w:val="left"/>
      <w:pPr>
        <w:ind w:left="4320" w:hanging="360"/>
      </w:pPr>
      <w:rPr>
        <w:rFonts w:hint="default" w:ascii="Wingdings" w:hAnsi="Wingdings"/>
      </w:rPr>
    </w:lvl>
    <w:lvl w:ilvl="6" w:tplc="79EE3D4C">
      <w:start w:val="1"/>
      <w:numFmt w:val="bullet"/>
      <w:lvlText w:val=""/>
      <w:lvlJc w:val="left"/>
      <w:pPr>
        <w:ind w:left="5040" w:hanging="360"/>
      </w:pPr>
      <w:rPr>
        <w:rFonts w:hint="default" w:ascii="Symbol" w:hAnsi="Symbol"/>
      </w:rPr>
    </w:lvl>
    <w:lvl w:ilvl="7" w:tplc="E59AFC78">
      <w:start w:val="1"/>
      <w:numFmt w:val="bullet"/>
      <w:lvlText w:val="o"/>
      <w:lvlJc w:val="left"/>
      <w:pPr>
        <w:ind w:left="5760" w:hanging="360"/>
      </w:pPr>
      <w:rPr>
        <w:rFonts w:hint="default" w:ascii="Courier New" w:hAnsi="Courier New"/>
      </w:rPr>
    </w:lvl>
    <w:lvl w:ilvl="8" w:tplc="1668D5AE">
      <w:start w:val="1"/>
      <w:numFmt w:val="bullet"/>
      <w:lvlText w:val=""/>
      <w:lvlJc w:val="left"/>
      <w:pPr>
        <w:ind w:left="6480" w:hanging="360"/>
      </w:pPr>
      <w:rPr>
        <w:rFonts w:hint="default" w:ascii="Wingdings" w:hAnsi="Wingdings"/>
      </w:rPr>
    </w:lvl>
  </w:abstractNum>
  <w:abstractNum w:abstractNumId="36" w15:restartNumberingAfterBreak="0">
    <w:nsid w:val="6A0D40CA"/>
    <w:multiLevelType w:val="hybridMultilevel"/>
    <w:tmpl w:val="9C003A36"/>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8738B2"/>
    <w:multiLevelType w:val="multilevel"/>
    <w:tmpl w:val="9380323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644"/>
        </w:tabs>
        <w:ind w:left="644"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708051D3"/>
    <w:multiLevelType w:val="hybridMultilevel"/>
    <w:tmpl w:val="E908812E"/>
    <w:lvl w:ilvl="0" w:tplc="4A6EF47C">
      <w:start w:val="1"/>
      <w:numFmt w:val="bullet"/>
      <w:lvlText w:val="·"/>
      <w:lvlJc w:val="left"/>
      <w:pPr>
        <w:ind w:left="720" w:hanging="360"/>
      </w:pPr>
      <w:rPr>
        <w:rFonts w:hint="default" w:ascii="Symbol" w:hAnsi="Symbol"/>
      </w:rPr>
    </w:lvl>
    <w:lvl w:ilvl="1" w:tplc="BF2EDA1E">
      <w:start w:val="1"/>
      <w:numFmt w:val="bullet"/>
      <w:lvlText w:val="o"/>
      <w:lvlJc w:val="left"/>
      <w:pPr>
        <w:ind w:left="1440" w:hanging="360"/>
      </w:pPr>
      <w:rPr>
        <w:rFonts w:hint="default" w:ascii="Courier New" w:hAnsi="Courier New"/>
      </w:rPr>
    </w:lvl>
    <w:lvl w:ilvl="2" w:tplc="42566D5E">
      <w:start w:val="1"/>
      <w:numFmt w:val="bullet"/>
      <w:lvlText w:val=""/>
      <w:lvlJc w:val="left"/>
      <w:pPr>
        <w:ind w:left="2160" w:hanging="360"/>
      </w:pPr>
      <w:rPr>
        <w:rFonts w:hint="default" w:ascii="Wingdings" w:hAnsi="Wingdings"/>
      </w:rPr>
    </w:lvl>
    <w:lvl w:ilvl="3" w:tplc="26920B74">
      <w:start w:val="1"/>
      <w:numFmt w:val="bullet"/>
      <w:lvlText w:val=""/>
      <w:lvlJc w:val="left"/>
      <w:pPr>
        <w:ind w:left="2880" w:hanging="360"/>
      </w:pPr>
      <w:rPr>
        <w:rFonts w:hint="default" w:ascii="Symbol" w:hAnsi="Symbol"/>
      </w:rPr>
    </w:lvl>
    <w:lvl w:ilvl="4" w:tplc="B07C2F4A">
      <w:start w:val="1"/>
      <w:numFmt w:val="bullet"/>
      <w:lvlText w:val="o"/>
      <w:lvlJc w:val="left"/>
      <w:pPr>
        <w:ind w:left="3600" w:hanging="360"/>
      </w:pPr>
      <w:rPr>
        <w:rFonts w:hint="default" w:ascii="Courier New" w:hAnsi="Courier New"/>
      </w:rPr>
    </w:lvl>
    <w:lvl w:ilvl="5" w:tplc="947AA50A">
      <w:start w:val="1"/>
      <w:numFmt w:val="bullet"/>
      <w:lvlText w:val=""/>
      <w:lvlJc w:val="left"/>
      <w:pPr>
        <w:ind w:left="4320" w:hanging="360"/>
      </w:pPr>
      <w:rPr>
        <w:rFonts w:hint="default" w:ascii="Wingdings" w:hAnsi="Wingdings"/>
      </w:rPr>
    </w:lvl>
    <w:lvl w:ilvl="6" w:tplc="1E2AAF42">
      <w:start w:val="1"/>
      <w:numFmt w:val="bullet"/>
      <w:lvlText w:val=""/>
      <w:lvlJc w:val="left"/>
      <w:pPr>
        <w:ind w:left="5040" w:hanging="360"/>
      </w:pPr>
      <w:rPr>
        <w:rFonts w:hint="default" w:ascii="Symbol" w:hAnsi="Symbol"/>
      </w:rPr>
    </w:lvl>
    <w:lvl w:ilvl="7" w:tplc="264A4546">
      <w:start w:val="1"/>
      <w:numFmt w:val="bullet"/>
      <w:lvlText w:val="o"/>
      <w:lvlJc w:val="left"/>
      <w:pPr>
        <w:ind w:left="5760" w:hanging="360"/>
      </w:pPr>
      <w:rPr>
        <w:rFonts w:hint="default" w:ascii="Courier New" w:hAnsi="Courier New"/>
      </w:rPr>
    </w:lvl>
    <w:lvl w:ilvl="8" w:tplc="E884CB96">
      <w:start w:val="1"/>
      <w:numFmt w:val="bullet"/>
      <w:lvlText w:val=""/>
      <w:lvlJc w:val="left"/>
      <w:pPr>
        <w:ind w:left="6480" w:hanging="360"/>
      </w:pPr>
      <w:rPr>
        <w:rFonts w:hint="default" w:ascii="Wingdings" w:hAnsi="Wingdings"/>
      </w:rPr>
    </w:lvl>
  </w:abstractNum>
  <w:abstractNum w:abstractNumId="39" w15:restartNumberingAfterBreak="0">
    <w:nsid w:val="7115FEB9"/>
    <w:multiLevelType w:val="hybridMultilevel"/>
    <w:tmpl w:val="A55A0088"/>
    <w:lvl w:ilvl="0" w:tplc="A296BE50">
      <w:start w:val="1"/>
      <w:numFmt w:val="bullet"/>
      <w:lvlText w:val=""/>
      <w:lvlJc w:val="left"/>
      <w:pPr>
        <w:ind w:left="720" w:hanging="360"/>
      </w:pPr>
      <w:rPr>
        <w:rFonts w:hint="default" w:ascii="Symbol" w:hAnsi="Symbol"/>
      </w:rPr>
    </w:lvl>
    <w:lvl w:ilvl="1" w:tplc="84F42DD2">
      <w:start w:val="1"/>
      <w:numFmt w:val="bullet"/>
      <w:lvlText w:val="o"/>
      <w:lvlJc w:val="left"/>
      <w:pPr>
        <w:ind w:left="1440" w:hanging="360"/>
      </w:pPr>
      <w:rPr>
        <w:rFonts w:hint="default" w:ascii="Courier New" w:hAnsi="Courier New"/>
      </w:rPr>
    </w:lvl>
    <w:lvl w:ilvl="2" w:tplc="4BF09550">
      <w:start w:val="1"/>
      <w:numFmt w:val="bullet"/>
      <w:lvlText w:val=""/>
      <w:lvlJc w:val="left"/>
      <w:pPr>
        <w:ind w:left="2160" w:hanging="360"/>
      </w:pPr>
      <w:rPr>
        <w:rFonts w:hint="default" w:ascii="Wingdings" w:hAnsi="Wingdings"/>
      </w:rPr>
    </w:lvl>
    <w:lvl w:ilvl="3" w:tplc="B86EEC52">
      <w:start w:val="1"/>
      <w:numFmt w:val="bullet"/>
      <w:lvlText w:val=""/>
      <w:lvlJc w:val="left"/>
      <w:pPr>
        <w:ind w:left="2880" w:hanging="360"/>
      </w:pPr>
      <w:rPr>
        <w:rFonts w:hint="default" w:ascii="Symbol" w:hAnsi="Symbol"/>
      </w:rPr>
    </w:lvl>
    <w:lvl w:ilvl="4" w:tplc="9A22B56A">
      <w:start w:val="1"/>
      <w:numFmt w:val="bullet"/>
      <w:lvlText w:val="o"/>
      <w:lvlJc w:val="left"/>
      <w:pPr>
        <w:ind w:left="3600" w:hanging="360"/>
      </w:pPr>
      <w:rPr>
        <w:rFonts w:hint="default" w:ascii="Courier New" w:hAnsi="Courier New"/>
      </w:rPr>
    </w:lvl>
    <w:lvl w:ilvl="5" w:tplc="3D600E22">
      <w:start w:val="1"/>
      <w:numFmt w:val="bullet"/>
      <w:lvlText w:val=""/>
      <w:lvlJc w:val="left"/>
      <w:pPr>
        <w:ind w:left="4320" w:hanging="360"/>
      </w:pPr>
      <w:rPr>
        <w:rFonts w:hint="default" w:ascii="Wingdings" w:hAnsi="Wingdings"/>
      </w:rPr>
    </w:lvl>
    <w:lvl w:ilvl="6" w:tplc="6966DDA0">
      <w:start w:val="1"/>
      <w:numFmt w:val="bullet"/>
      <w:lvlText w:val=""/>
      <w:lvlJc w:val="left"/>
      <w:pPr>
        <w:ind w:left="5040" w:hanging="360"/>
      </w:pPr>
      <w:rPr>
        <w:rFonts w:hint="default" w:ascii="Symbol" w:hAnsi="Symbol"/>
      </w:rPr>
    </w:lvl>
    <w:lvl w:ilvl="7" w:tplc="F7088C6E">
      <w:start w:val="1"/>
      <w:numFmt w:val="bullet"/>
      <w:lvlText w:val="o"/>
      <w:lvlJc w:val="left"/>
      <w:pPr>
        <w:ind w:left="5760" w:hanging="360"/>
      </w:pPr>
      <w:rPr>
        <w:rFonts w:hint="default" w:ascii="Courier New" w:hAnsi="Courier New"/>
      </w:rPr>
    </w:lvl>
    <w:lvl w:ilvl="8" w:tplc="E91A2CD8">
      <w:start w:val="1"/>
      <w:numFmt w:val="bullet"/>
      <w:lvlText w:val=""/>
      <w:lvlJc w:val="left"/>
      <w:pPr>
        <w:ind w:left="6480" w:hanging="360"/>
      </w:pPr>
      <w:rPr>
        <w:rFonts w:hint="default" w:ascii="Wingdings" w:hAnsi="Wingdings"/>
      </w:rPr>
    </w:lvl>
  </w:abstractNum>
  <w:abstractNum w:abstractNumId="40" w15:restartNumberingAfterBreak="0">
    <w:nsid w:val="797262A0"/>
    <w:multiLevelType w:val="multilevel"/>
    <w:tmpl w:val="B7AE033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7B535FDF"/>
    <w:multiLevelType w:val="hybridMultilevel"/>
    <w:tmpl w:val="35F2FC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B5952F0"/>
    <w:multiLevelType w:val="hybridMultilevel"/>
    <w:tmpl w:val="27F2EA0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3" w15:restartNumberingAfterBreak="0">
    <w:nsid w:val="7BE715CA"/>
    <w:multiLevelType w:val="hybridMultilevel"/>
    <w:tmpl w:val="28E0690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373193663">
    <w:abstractNumId w:val="18"/>
  </w:num>
  <w:num w:numId="2" w16cid:durableId="458572305">
    <w:abstractNumId w:val="16"/>
  </w:num>
  <w:num w:numId="3" w16cid:durableId="1386560484">
    <w:abstractNumId w:val="21"/>
  </w:num>
  <w:num w:numId="4" w16cid:durableId="768546900">
    <w:abstractNumId w:val="35"/>
  </w:num>
  <w:num w:numId="5" w16cid:durableId="1498498369">
    <w:abstractNumId w:val="11"/>
  </w:num>
  <w:num w:numId="6" w16cid:durableId="1420519471">
    <w:abstractNumId w:val="33"/>
  </w:num>
  <w:num w:numId="7" w16cid:durableId="972980184">
    <w:abstractNumId w:val="39"/>
  </w:num>
  <w:num w:numId="8" w16cid:durableId="1060832732">
    <w:abstractNumId w:val="38"/>
  </w:num>
  <w:num w:numId="9" w16cid:durableId="815025464">
    <w:abstractNumId w:val="15"/>
  </w:num>
  <w:num w:numId="10" w16cid:durableId="1219240291">
    <w:abstractNumId w:val="13"/>
  </w:num>
  <w:num w:numId="11" w16cid:durableId="120004131">
    <w:abstractNumId w:val="31"/>
  </w:num>
  <w:num w:numId="12" w16cid:durableId="360133800">
    <w:abstractNumId w:val="22"/>
  </w:num>
  <w:num w:numId="13" w16cid:durableId="1173842315">
    <w:abstractNumId w:val="0"/>
  </w:num>
  <w:num w:numId="14" w16cid:durableId="216405810">
    <w:abstractNumId w:val="36"/>
  </w:num>
  <w:num w:numId="15" w16cid:durableId="1269393632">
    <w:abstractNumId w:val="17"/>
  </w:num>
  <w:num w:numId="16" w16cid:durableId="1484538628">
    <w:abstractNumId w:val="14"/>
  </w:num>
  <w:num w:numId="17" w16cid:durableId="421921625">
    <w:abstractNumId w:val="29"/>
  </w:num>
  <w:num w:numId="18" w16cid:durableId="371463109">
    <w:abstractNumId w:val="4"/>
  </w:num>
  <w:num w:numId="19" w16cid:durableId="1008555198">
    <w:abstractNumId w:val="25"/>
  </w:num>
  <w:num w:numId="20" w16cid:durableId="877201495">
    <w:abstractNumId w:val="41"/>
  </w:num>
  <w:num w:numId="21" w16cid:durableId="1894728972">
    <w:abstractNumId w:val="3"/>
  </w:num>
  <w:num w:numId="22" w16cid:durableId="1343894270">
    <w:abstractNumId w:val="34"/>
  </w:num>
  <w:num w:numId="23" w16cid:durableId="1477916900">
    <w:abstractNumId w:val="43"/>
  </w:num>
  <w:num w:numId="24" w16cid:durableId="2060517974">
    <w:abstractNumId w:val="30"/>
  </w:num>
  <w:num w:numId="25" w16cid:durableId="1966958280">
    <w:abstractNumId w:val="32"/>
  </w:num>
  <w:num w:numId="26" w16cid:durableId="694581311">
    <w:abstractNumId w:val="19"/>
  </w:num>
  <w:num w:numId="27" w16cid:durableId="1714696779">
    <w:abstractNumId w:val="42"/>
  </w:num>
  <w:num w:numId="28" w16cid:durableId="1965312355">
    <w:abstractNumId w:val="10"/>
  </w:num>
  <w:num w:numId="29" w16cid:durableId="1658417622">
    <w:abstractNumId w:val="7"/>
  </w:num>
  <w:num w:numId="30" w16cid:durableId="576520715">
    <w:abstractNumId w:val="26"/>
  </w:num>
  <w:num w:numId="31" w16cid:durableId="379860443">
    <w:abstractNumId w:val="2"/>
  </w:num>
  <w:num w:numId="32" w16cid:durableId="1933970566">
    <w:abstractNumId w:val="6"/>
  </w:num>
  <w:num w:numId="33" w16cid:durableId="888999661">
    <w:abstractNumId w:val="37"/>
  </w:num>
  <w:num w:numId="34" w16cid:durableId="735782064">
    <w:abstractNumId w:val="27"/>
  </w:num>
  <w:num w:numId="35" w16cid:durableId="1965886474">
    <w:abstractNumId w:val="24"/>
  </w:num>
  <w:num w:numId="36" w16cid:durableId="783160023">
    <w:abstractNumId w:val="8"/>
  </w:num>
  <w:num w:numId="37" w16cid:durableId="574970876">
    <w:abstractNumId w:val="1"/>
  </w:num>
  <w:num w:numId="38" w16cid:durableId="1242063216">
    <w:abstractNumId w:val="20"/>
  </w:num>
  <w:num w:numId="39" w16cid:durableId="1640575416">
    <w:abstractNumId w:val="12"/>
  </w:num>
  <w:num w:numId="40" w16cid:durableId="1292324381">
    <w:abstractNumId w:val="9"/>
  </w:num>
  <w:num w:numId="41" w16cid:durableId="142552962">
    <w:abstractNumId w:val="23"/>
  </w:num>
  <w:num w:numId="42" w16cid:durableId="1246838998">
    <w:abstractNumId w:val="40"/>
  </w:num>
  <w:num w:numId="43" w16cid:durableId="906064174">
    <w:abstractNumId w:val="5"/>
  </w:num>
  <w:num w:numId="44" w16cid:durableId="1358963633">
    <w:abstractNumId w:val="28"/>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D16"/>
    <w:rsid w:val="00000968"/>
    <w:rsid w:val="000019CA"/>
    <w:rsid w:val="00001D30"/>
    <w:rsid w:val="00002C9C"/>
    <w:rsid w:val="000041E2"/>
    <w:rsid w:val="000045EB"/>
    <w:rsid w:val="000066F9"/>
    <w:rsid w:val="00010B55"/>
    <w:rsid w:val="000133E6"/>
    <w:rsid w:val="000156BA"/>
    <w:rsid w:val="00025D7C"/>
    <w:rsid w:val="00026E81"/>
    <w:rsid w:val="00026EAA"/>
    <w:rsid w:val="00027E99"/>
    <w:rsid w:val="0003093E"/>
    <w:rsid w:val="00032F0C"/>
    <w:rsid w:val="00041940"/>
    <w:rsid w:val="00041AF5"/>
    <w:rsid w:val="00044186"/>
    <w:rsid w:val="000462AB"/>
    <w:rsid w:val="000473E7"/>
    <w:rsid w:val="00047CAD"/>
    <w:rsid w:val="000507FC"/>
    <w:rsid w:val="00050FBC"/>
    <w:rsid w:val="00051D49"/>
    <w:rsid w:val="00052424"/>
    <w:rsid w:val="00052B29"/>
    <w:rsid w:val="00054C82"/>
    <w:rsid w:val="00060D00"/>
    <w:rsid w:val="00061224"/>
    <w:rsid w:val="000615FD"/>
    <w:rsid w:val="00062430"/>
    <w:rsid w:val="000635B5"/>
    <w:rsid w:val="000645B0"/>
    <w:rsid w:val="00072FFF"/>
    <w:rsid w:val="00075042"/>
    <w:rsid w:val="0007504F"/>
    <w:rsid w:val="00076921"/>
    <w:rsid w:val="00079884"/>
    <w:rsid w:val="0008043F"/>
    <w:rsid w:val="00081B2A"/>
    <w:rsid w:val="00082768"/>
    <w:rsid w:val="00083D11"/>
    <w:rsid w:val="000843F9"/>
    <w:rsid w:val="00084D2F"/>
    <w:rsid w:val="00087230"/>
    <w:rsid w:val="0009077E"/>
    <w:rsid w:val="000911DE"/>
    <w:rsid w:val="00091DC9"/>
    <w:rsid w:val="00092E8A"/>
    <w:rsid w:val="000930CA"/>
    <w:rsid w:val="0009467C"/>
    <w:rsid w:val="00094E7F"/>
    <w:rsid w:val="00094F7C"/>
    <w:rsid w:val="00095308"/>
    <w:rsid w:val="0009597C"/>
    <w:rsid w:val="00095A7C"/>
    <w:rsid w:val="00095AA9"/>
    <w:rsid w:val="0009689C"/>
    <w:rsid w:val="000A09ED"/>
    <w:rsid w:val="000A4223"/>
    <w:rsid w:val="000A4667"/>
    <w:rsid w:val="000A469E"/>
    <w:rsid w:val="000A74A7"/>
    <w:rsid w:val="000B0B81"/>
    <w:rsid w:val="000B15DF"/>
    <w:rsid w:val="000B2216"/>
    <w:rsid w:val="000B2AE4"/>
    <w:rsid w:val="000B54F3"/>
    <w:rsid w:val="000B6511"/>
    <w:rsid w:val="000B6B3B"/>
    <w:rsid w:val="000C016F"/>
    <w:rsid w:val="000C1260"/>
    <w:rsid w:val="000C1D3C"/>
    <w:rsid w:val="000C25C1"/>
    <w:rsid w:val="000C6D15"/>
    <w:rsid w:val="000C71E1"/>
    <w:rsid w:val="000C7615"/>
    <w:rsid w:val="000D0845"/>
    <w:rsid w:val="000D11F4"/>
    <w:rsid w:val="000D18C3"/>
    <w:rsid w:val="000D353E"/>
    <w:rsid w:val="000D55A3"/>
    <w:rsid w:val="000D6A06"/>
    <w:rsid w:val="000E0955"/>
    <w:rsid w:val="000E138D"/>
    <w:rsid w:val="000E24B9"/>
    <w:rsid w:val="000E3B18"/>
    <w:rsid w:val="000E60B6"/>
    <w:rsid w:val="000F00D1"/>
    <w:rsid w:val="000F23D1"/>
    <w:rsid w:val="000F2520"/>
    <w:rsid w:val="000F28E1"/>
    <w:rsid w:val="000F3D3F"/>
    <w:rsid w:val="000F5DA2"/>
    <w:rsid w:val="000F75A5"/>
    <w:rsid w:val="000F7D06"/>
    <w:rsid w:val="0010004F"/>
    <w:rsid w:val="00101BE9"/>
    <w:rsid w:val="00101D98"/>
    <w:rsid w:val="00101F20"/>
    <w:rsid w:val="00102158"/>
    <w:rsid w:val="0010303E"/>
    <w:rsid w:val="001046C2"/>
    <w:rsid w:val="0010527D"/>
    <w:rsid w:val="0010742A"/>
    <w:rsid w:val="00110E80"/>
    <w:rsid w:val="00111D0A"/>
    <w:rsid w:val="0011468E"/>
    <w:rsid w:val="001162DA"/>
    <w:rsid w:val="00122020"/>
    <w:rsid w:val="00122805"/>
    <w:rsid w:val="00123526"/>
    <w:rsid w:val="00125F9E"/>
    <w:rsid w:val="0012645B"/>
    <w:rsid w:val="001302EF"/>
    <w:rsid w:val="001347C6"/>
    <w:rsid w:val="0013569A"/>
    <w:rsid w:val="00136274"/>
    <w:rsid w:val="00136CDC"/>
    <w:rsid w:val="00137D4C"/>
    <w:rsid w:val="00144C82"/>
    <w:rsid w:val="001474C6"/>
    <w:rsid w:val="00150475"/>
    <w:rsid w:val="001505C3"/>
    <w:rsid w:val="00151D1A"/>
    <w:rsid w:val="0015246E"/>
    <w:rsid w:val="00153C4C"/>
    <w:rsid w:val="001551C6"/>
    <w:rsid w:val="0015573E"/>
    <w:rsid w:val="001557D3"/>
    <w:rsid w:val="0016289B"/>
    <w:rsid w:val="00162902"/>
    <w:rsid w:val="00162987"/>
    <w:rsid w:val="00165A2F"/>
    <w:rsid w:val="0016687D"/>
    <w:rsid w:val="001731CD"/>
    <w:rsid w:val="001734FE"/>
    <w:rsid w:val="00174638"/>
    <w:rsid w:val="00175316"/>
    <w:rsid w:val="0017794B"/>
    <w:rsid w:val="00181D77"/>
    <w:rsid w:val="00183AAE"/>
    <w:rsid w:val="00185094"/>
    <w:rsid w:val="0018621B"/>
    <w:rsid w:val="0018754C"/>
    <w:rsid w:val="00187803"/>
    <w:rsid w:val="0018FF83"/>
    <w:rsid w:val="00191BCF"/>
    <w:rsid w:val="00192443"/>
    <w:rsid w:val="001929ED"/>
    <w:rsid w:val="00196839"/>
    <w:rsid w:val="001978B9"/>
    <w:rsid w:val="001A349E"/>
    <w:rsid w:val="001A3C45"/>
    <w:rsid w:val="001A5213"/>
    <w:rsid w:val="001A53FA"/>
    <w:rsid w:val="001A6D1D"/>
    <w:rsid w:val="001B0DCE"/>
    <w:rsid w:val="001B68F1"/>
    <w:rsid w:val="001B73F4"/>
    <w:rsid w:val="001C0A46"/>
    <w:rsid w:val="001C0E8F"/>
    <w:rsid w:val="001C1627"/>
    <w:rsid w:val="001C23CC"/>
    <w:rsid w:val="001C2F57"/>
    <w:rsid w:val="001C410B"/>
    <w:rsid w:val="001C5C69"/>
    <w:rsid w:val="001C5F5B"/>
    <w:rsid w:val="001C62FE"/>
    <w:rsid w:val="001D0EF9"/>
    <w:rsid w:val="001D4E8F"/>
    <w:rsid w:val="001D61A3"/>
    <w:rsid w:val="001D626B"/>
    <w:rsid w:val="001D7003"/>
    <w:rsid w:val="001D7194"/>
    <w:rsid w:val="001D76CB"/>
    <w:rsid w:val="001E0D5D"/>
    <w:rsid w:val="001E1A40"/>
    <w:rsid w:val="001E2893"/>
    <w:rsid w:val="001E5A1B"/>
    <w:rsid w:val="001E75B1"/>
    <w:rsid w:val="001F0379"/>
    <w:rsid w:val="001F0437"/>
    <w:rsid w:val="001F0B20"/>
    <w:rsid w:val="001F0CB6"/>
    <w:rsid w:val="001F7F06"/>
    <w:rsid w:val="00200B0F"/>
    <w:rsid w:val="0020111D"/>
    <w:rsid w:val="00203042"/>
    <w:rsid w:val="00204903"/>
    <w:rsid w:val="00205BF1"/>
    <w:rsid w:val="00206AD9"/>
    <w:rsid w:val="00206BE4"/>
    <w:rsid w:val="00213EDD"/>
    <w:rsid w:val="00216442"/>
    <w:rsid w:val="002171F9"/>
    <w:rsid w:val="00220E8C"/>
    <w:rsid w:val="00222CA3"/>
    <w:rsid w:val="002258DD"/>
    <w:rsid w:val="0022734E"/>
    <w:rsid w:val="0022760D"/>
    <w:rsid w:val="0023053D"/>
    <w:rsid w:val="00230A04"/>
    <w:rsid w:val="00231425"/>
    <w:rsid w:val="0023142A"/>
    <w:rsid w:val="00231709"/>
    <w:rsid w:val="002324CB"/>
    <w:rsid w:val="00234369"/>
    <w:rsid w:val="002374F7"/>
    <w:rsid w:val="00242987"/>
    <w:rsid w:val="00244E09"/>
    <w:rsid w:val="002451DF"/>
    <w:rsid w:val="00245A9A"/>
    <w:rsid w:val="00247811"/>
    <w:rsid w:val="00251A39"/>
    <w:rsid w:val="00251E47"/>
    <w:rsid w:val="00253B5D"/>
    <w:rsid w:val="00255FF0"/>
    <w:rsid w:val="00256230"/>
    <w:rsid w:val="002571B6"/>
    <w:rsid w:val="002574AF"/>
    <w:rsid w:val="002575CC"/>
    <w:rsid w:val="00257766"/>
    <w:rsid w:val="0026175B"/>
    <w:rsid w:val="00265584"/>
    <w:rsid w:val="0026701A"/>
    <w:rsid w:val="0027034B"/>
    <w:rsid w:val="00281CB8"/>
    <w:rsid w:val="00284760"/>
    <w:rsid w:val="00285E25"/>
    <w:rsid w:val="00287F48"/>
    <w:rsid w:val="002904BD"/>
    <w:rsid w:val="00290CA5"/>
    <w:rsid w:val="00291788"/>
    <w:rsid w:val="00295749"/>
    <w:rsid w:val="00295AC2"/>
    <w:rsid w:val="00297D9F"/>
    <w:rsid w:val="002A4209"/>
    <w:rsid w:val="002A5548"/>
    <w:rsid w:val="002A6947"/>
    <w:rsid w:val="002A6C72"/>
    <w:rsid w:val="002A7B51"/>
    <w:rsid w:val="002A7E2E"/>
    <w:rsid w:val="002B1694"/>
    <w:rsid w:val="002B200D"/>
    <w:rsid w:val="002B20A0"/>
    <w:rsid w:val="002B2CB3"/>
    <w:rsid w:val="002B4088"/>
    <w:rsid w:val="002B6C66"/>
    <w:rsid w:val="002B73E5"/>
    <w:rsid w:val="002B7B4D"/>
    <w:rsid w:val="002C2235"/>
    <w:rsid w:val="002C40FB"/>
    <w:rsid w:val="002C6506"/>
    <w:rsid w:val="002D202B"/>
    <w:rsid w:val="002D402F"/>
    <w:rsid w:val="002D4627"/>
    <w:rsid w:val="002D597C"/>
    <w:rsid w:val="002D6896"/>
    <w:rsid w:val="002D7C00"/>
    <w:rsid w:val="002E0A63"/>
    <w:rsid w:val="002E2887"/>
    <w:rsid w:val="002E2C79"/>
    <w:rsid w:val="002E337F"/>
    <w:rsid w:val="002E458B"/>
    <w:rsid w:val="002E6348"/>
    <w:rsid w:val="002E6BA9"/>
    <w:rsid w:val="002E71A3"/>
    <w:rsid w:val="002F062C"/>
    <w:rsid w:val="002F06AD"/>
    <w:rsid w:val="002F29D1"/>
    <w:rsid w:val="002F7CD1"/>
    <w:rsid w:val="00300FCC"/>
    <w:rsid w:val="00302792"/>
    <w:rsid w:val="00303C20"/>
    <w:rsid w:val="00303E33"/>
    <w:rsid w:val="00304FC6"/>
    <w:rsid w:val="00306E99"/>
    <w:rsid w:val="00307CF5"/>
    <w:rsid w:val="00311A3B"/>
    <w:rsid w:val="00313377"/>
    <w:rsid w:val="003155C5"/>
    <w:rsid w:val="00315F40"/>
    <w:rsid w:val="003174AA"/>
    <w:rsid w:val="00322C1A"/>
    <w:rsid w:val="00322EB0"/>
    <w:rsid w:val="00324E59"/>
    <w:rsid w:val="0032525A"/>
    <w:rsid w:val="003273C6"/>
    <w:rsid w:val="00330E9F"/>
    <w:rsid w:val="003332DA"/>
    <w:rsid w:val="003337BF"/>
    <w:rsid w:val="003356E5"/>
    <w:rsid w:val="00336239"/>
    <w:rsid w:val="00336DC9"/>
    <w:rsid w:val="003405C2"/>
    <w:rsid w:val="003413DE"/>
    <w:rsid w:val="003428D3"/>
    <w:rsid w:val="003446EB"/>
    <w:rsid w:val="00345639"/>
    <w:rsid w:val="003467B2"/>
    <w:rsid w:val="00347045"/>
    <w:rsid w:val="00350A33"/>
    <w:rsid w:val="003514A9"/>
    <w:rsid w:val="00352A53"/>
    <w:rsid w:val="00352AD2"/>
    <w:rsid w:val="00353337"/>
    <w:rsid w:val="00355110"/>
    <w:rsid w:val="00356051"/>
    <w:rsid w:val="00356F9B"/>
    <w:rsid w:val="003570DB"/>
    <w:rsid w:val="00360795"/>
    <w:rsid w:val="00360FFA"/>
    <w:rsid w:val="00365674"/>
    <w:rsid w:val="00366A10"/>
    <w:rsid w:val="00370E64"/>
    <w:rsid w:val="003724A5"/>
    <w:rsid w:val="00373296"/>
    <w:rsid w:val="00373F8A"/>
    <w:rsid w:val="00380BE5"/>
    <w:rsid w:val="003813EF"/>
    <w:rsid w:val="003829B9"/>
    <w:rsid w:val="00383234"/>
    <w:rsid w:val="003832B5"/>
    <w:rsid w:val="00383C21"/>
    <w:rsid w:val="003848E8"/>
    <w:rsid w:val="003851E7"/>
    <w:rsid w:val="003853E8"/>
    <w:rsid w:val="00386C30"/>
    <w:rsid w:val="00396E2F"/>
    <w:rsid w:val="003A0AAD"/>
    <w:rsid w:val="003A0ECB"/>
    <w:rsid w:val="003A2C47"/>
    <w:rsid w:val="003A45C5"/>
    <w:rsid w:val="003A6BB7"/>
    <w:rsid w:val="003A769B"/>
    <w:rsid w:val="003B0A5E"/>
    <w:rsid w:val="003B0F46"/>
    <w:rsid w:val="003B6DC5"/>
    <w:rsid w:val="003C0262"/>
    <w:rsid w:val="003C0C7C"/>
    <w:rsid w:val="003C317E"/>
    <w:rsid w:val="003C32FE"/>
    <w:rsid w:val="003C4905"/>
    <w:rsid w:val="003C524B"/>
    <w:rsid w:val="003C64E4"/>
    <w:rsid w:val="003C7671"/>
    <w:rsid w:val="003D1048"/>
    <w:rsid w:val="003D14A8"/>
    <w:rsid w:val="003D3C20"/>
    <w:rsid w:val="003D6893"/>
    <w:rsid w:val="003E0B03"/>
    <w:rsid w:val="003E144D"/>
    <w:rsid w:val="003E15FD"/>
    <w:rsid w:val="003E1EC8"/>
    <w:rsid w:val="003E241E"/>
    <w:rsid w:val="003E345E"/>
    <w:rsid w:val="003E4ECD"/>
    <w:rsid w:val="003E7E77"/>
    <w:rsid w:val="003F1C1D"/>
    <w:rsid w:val="003F2BB2"/>
    <w:rsid w:val="003F434F"/>
    <w:rsid w:val="003F4790"/>
    <w:rsid w:val="003F4E31"/>
    <w:rsid w:val="003F7866"/>
    <w:rsid w:val="00402D20"/>
    <w:rsid w:val="00403716"/>
    <w:rsid w:val="00403DE1"/>
    <w:rsid w:val="00404566"/>
    <w:rsid w:val="004054DC"/>
    <w:rsid w:val="00405A02"/>
    <w:rsid w:val="0041425F"/>
    <w:rsid w:val="00415877"/>
    <w:rsid w:val="004206EC"/>
    <w:rsid w:val="0042161A"/>
    <w:rsid w:val="00422AB4"/>
    <w:rsid w:val="00423524"/>
    <w:rsid w:val="00424B5D"/>
    <w:rsid w:val="0042674A"/>
    <w:rsid w:val="00427124"/>
    <w:rsid w:val="00427572"/>
    <w:rsid w:val="00427A78"/>
    <w:rsid w:val="0043007A"/>
    <w:rsid w:val="00434F6C"/>
    <w:rsid w:val="00435615"/>
    <w:rsid w:val="00436C53"/>
    <w:rsid w:val="00437E20"/>
    <w:rsid w:val="004415FB"/>
    <w:rsid w:val="004428EE"/>
    <w:rsid w:val="00442C85"/>
    <w:rsid w:val="0044591A"/>
    <w:rsid w:val="004461A3"/>
    <w:rsid w:val="0044635F"/>
    <w:rsid w:val="004464AE"/>
    <w:rsid w:val="004509A4"/>
    <w:rsid w:val="00450D59"/>
    <w:rsid w:val="004519E6"/>
    <w:rsid w:val="00454927"/>
    <w:rsid w:val="00455B10"/>
    <w:rsid w:val="00456266"/>
    <w:rsid w:val="0046094F"/>
    <w:rsid w:val="00461967"/>
    <w:rsid w:val="00462556"/>
    <w:rsid w:val="00463365"/>
    <w:rsid w:val="00465222"/>
    <w:rsid w:val="00465B5C"/>
    <w:rsid w:val="0046659F"/>
    <w:rsid w:val="00471F3A"/>
    <w:rsid w:val="00473C18"/>
    <w:rsid w:val="00474AB6"/>
    <w:rsid w:val="004752F5"/>
    <w:rsid w:val="00480F39"/>
    <w:rsid w:val="004815A4"/>
    <w:rsid w:val="004818FA"/>
    <w:rsid w:val="004820A0"/>
    <w:rsid w:val="00486673"/>
    <w:rsid w:val="00491D41"/>
    <w:rsid w:val="00493231"/>
    <w:rsid w:val="00493DD9"/>
    <w:rsid w:val="004943DB"/>
    <w:rsid w:val="004A03D1"/>
    <w:rsid w:val="004A09DB"/>
    <w:rsid w:val="004A50C5"/>
    <w:rsid w:val="004A55F3"/>
    <w:rsid w:val="004A75C9"/>
    <w:rsid w:val="004B11C8"/>
    <w:rsid w:val="004B18D4"/>
    <w:rsid w:val="004B1B6D"/>
    <w:rsid w:val="004B4F77"/>
    <w:rsid w:val="004B521C"/>
    <w:rsid w:val="004B59A9"/>
    <w:rsid w:val="004B68F9"/>
    <w:rsid w:val="004B7D2A"/>
    <w:rsid w:val="004B8FA8"/>
    <w:rsid w:val="004C0F83"/>
    <w:rsid w:val="004C1198"/>
    <w:rsid w:val="004C1482"/>
    <w:rsid w:val="004C16A8"/>
    <w:rsid w:val="004C2023"/>
    <w:rsid w:val="004C2209"/>
    <w:rsid w:val="004C53C8"/>
    <w:rsid w:val="004C569A"/>
    <w:rsid w:val="004C7D3F"/>
    <w:rsid w:val="004D3E16"/>
    <w:rsid w:val="004D7AFF"/>
    <w:rsid w:val="004E0DA2"/>
    <w:rsid w:val="004E33A8"/>
    <w:rsid w:val="004E33F7"/>
    <w:rsid w:val="004E48DD"/>
    <w:rsid w:val="004E5F6F"/>
    <w:rsid w:val="004E7EA8"/>
    <w:rsid w:val="004F1196"/>
    <w:rsid w:val="004F3C60"/>
    <w:rsid w:val="004F4886"/>
    <w:rsid w:val="004F50C9"/>
    <w:rsid w:val="004F54D8"/>
    <w:rsid w:val="004F5C82"/>
    <w:rsid w:val="004F65E2"/>
    <w:rsid w:val="004F679B"/>
    <w:rsid w:val="004F78B9"/>
    <w:rsid w:val="005006EA"/>
    <w:rsid w:val="005033DD"/>
    <w:rsid w:val="005056D2"/>
    <w:rsid w:val="00506120"/>
    <w:rsid w:val="0050670E"/>
    <w:rsid w:val="00507AA7"/>
    <w:rsid w:val="00510867"/>
    <w:rsid w:val="00511512"/>
    <w:rsid w:val="005124C7"/>
    <w:rsid w:val="00513994"/>
    <w:rsid w:val="005170AB"/>
    <w:rsid w:val="00522F49"/>
    <w:rsid w:val="00525D9A"/>
    <w:rsid w:val="00531D01"/>
    <w:rsid w:val="00532841"/>
    <w:rsid w:val="00535B16"/>
    <w:rsid w:val="00536064"/>
    <w:rsid w:val="00536C51"/>
    <w:rsid w:val="00537FB2"/>
    <w:rsid w:val="0054565D"/>
    <w:rsid w:val="00547222"/>
    <w:rsid w:val="0054793C"/>
    <w:rsid w:val="00547EB8"/>
    <w:rsid w:val="00550178"/>
    <w:rsid w:val="0055076E"/>
    <w:rsid w:val="00550CD0"/>
    <w:rsid w:val="005521D2"/>
    <w:rsid w:val="005526AC"/>
    <w:rsid w:val="00554BCE"/>
    <w:rsid w:val="00555142"/>
    <w:rsid w:val="00555CAC"/>
    <w:rsid w:val="0055644F"/>
    <w:rsid w:val="00556860"/>
    <w:rsid w:val="00556872"/>
    <w:rsid w:val="00561FC9"/>
    <w:rsid w:val="005620AA"/>
    <w:rsid w:val="00562707"/>
    <w:rsid w:val="00562EF4"/>
    <w:rsid w:val="005636B1"/>
    <w:rsid w:val="0056647F"/>
    <w:rsid w:val="00570068"/>
    <w:rsid w:val="0057269E"/>
    <w:rsid w:val="00573BF1"/>
    <w:rsid w:val="00577C49"/>
    <w:rsid w:val="00581FEA"/>
    <w:rsid w:val="00582267"/>
    <w:rsid w:val="005830AC"/>
    <w:rsid w:val="0058404D"/>
    <w:rsid w:val="0058583D"/>
    <w:rsid w:val="0058629E"/>
    <w:rsid w:val="005901FD"/>
    <w:rsid w:val="0059054E"/>
    <w:rsid w:val="0059188B"/>
    <w:rsid w:val="005A110B"/>
    <w:rsid w:val="005A13A1"/>
    <w:rsid w:val="005A2DCF"/>
    <w:rsid w:val="005A42F7"/>
    <w:rsid w:val="005A5BC7"/>
    <w:rsid w:val="005B1FA8"/>
    <w:rsid w:val="005B27F5"/>
    <w:rsid w:val="005B3543"/>
    <w:rsid w:val="005B3F7A"/>
    <w:rsid w:val="005B6900"/>
    <w:rsid w:val="005C1E78"/>
    <w:rsid w:val="005C2B8D"/>
    <w:rsid w:val="005C3E87"/>
    <w:rsid w:val="005CF615"/>
    <w:rsid w:val="005D2EFD"/>
    <w:rsid w:val="005D669A"/>
    <w:rsid w:val="005D6BA4"/>
    <w:rsid w:val="005E187C"/>
    <w:rsid w:val="005E1EE3"/>
    <w:rsid w:val="005E6456"/>
    <w:rsid w:val="005E7E15"/>
    <w:rsid w:val="005F0AE1"/>
    <w:rsid w:val="005F19C6"/>
    <w:rsid w:val="005F34F6"/>
    <w:rsid w:val="005F5FED"/>
    <w:rsid w:val="005F7CCD"/>
    <w:rsid w:val="00601039"/>
    <w:rsid w:val="006018DC"/>
    <w:rsid w:val="00602594"/>
    <w:rsid w:val="00602BC4"/>
    <w:rsid w:val="006064E2"/>
    <w:rsid w:val="006066C0"/>
    <w:rsid w:val="00610209"/>
    <w:rsid w:val="006119A8"/>
    <w:rsid w:val="00612E49"/>
    <w:rsid w:val="00617245"/>
    <w:rsid w:val="00623A40"/>
    <w:rsid w:val="006241B5"/>
    <w:rsid w:val="00625EE6"/>
    <w:rsid w:val="0063086E"/>
    <w:rsid w:val="0063228D"/>
    <w:rsid w:val="00632393"/>
    <w:rsid w:val="006343C6"/>
    <w:rsid w:val="006361DF"/>
    <w:rsid w:val="0063729D"/>
    <w:rsid w:val="00640314"/>
    <w:rsid w:val="0064046B"/>
    <w:rsid w:val="00640826"/>
    <w:rsid w:val="006432B5"/>
    <w:rsid w:val="00644EED"/>
    <w:rsid w:val="00645366"/>
    <w:rsid w:val="00650B94"/>
    <w:rsid w:val="00651D32"/>
    <w:rsid w:val="00653730"/>
    <w:rsid w:val="00653E18"/>
    <w:rsid w:val="0065528E"/>
    <w:rsid w:val="00655432"/>
    <w:rsid w:val="00656F91"/>
    <w:rsid w:val="00660111"/>
    <w:rsid w:val="006628DE"/>
    <w:rsid w:val="006645E9"/>
    <w:rsid w:val="0066496D"/>
    <w:rsid w:val="00671AC6"/>
    <w:rsid w:val="00672223"/>
    <w:rsid w:val="00674F16"/>
    <w:rsid w:val="00676345"/>
    <w:rsid w:val="00680423"/>
    <w:rsid w:val="00681AFB"/>
    <w:rsid w:val="00691D27"/>
    <w:rsid w:val="0069375A"/>
    <w:rsid w:val="006946A4"/>
    <w:rsid w:val="00695B30"/>
    <w:rsid w:val="00696493"/>
    <w:rsid w:val="0069798B"/>
    <w:rsid w:val="006A08C6"/>
    <w:rsid w:val="006A12C7"/>
    <w:rsid w:val="006A19D6"/>
    <w:rsid w:val="006A1B70"/>
    <w:rsid w:val="006A2000"/>
    <w:rsid w:val="006A2C90"/>
    <w:rsid w:val="006A444D"/>
    <w:rsid w:val="006A452E"/>
    <w:rsid w:val="006A5797"/>
    <w:rsid w:val="006B4B65"/>
    <w:rsid w:val="006B55CB"/>
    <w:rsid w:val="006B58CD"/>
    <w:rsid w:val="006B5C93"/>
    <w:rsid w:val="006C1090"/>
    <w:rsid w:val="006C2F94"/>
    <w:rsid w:val="006C3231"/>
    <w:rsid w:val="006C395F"/>
    <w:rsid w:val="006C4C0D"/>
    <w:rsid w:val="006C59F3"/>
    <w:rsid w:val="006D39E5"/>
    <w:rsid w:val="006D766B"/>
    <w:rsid w:val="006E0401"/>
    <w:rsid w:val="006E055F"/>
    <w:rsid w:val="006E06E8"/>
    <w:rsid w:val="006E0A27"/>
    <w:rsid w:val="006E2142"/>
    <w:rsid w:val="006E3D98"/>
    <w:rsid w:val="006E3DB0"/>
    <w:rsid w:val="006E59DA"/>
    <w:rsid w:val="006E6FAC"/>
    <w:rsid w:val="006F04C6"/>
    <w:rsid w:val="006F1A78"/>
    <w:rsid w:val="006F4609"/>
    <w:rsid w:val="006F6298"/>
    <w:rsid w:val="006F746B"/>
    <w:rsid w:val="00700E90"/>
    <w:rsid w:val="00701BA0"/>
    <w:rsid w:val="00701BA9"/>
    <w:rsid w:val="0070406F"/>
    <w:rsid w:val="00705C5D"/>
    <w:rsid w:val="007104C6"/>
    <w:rsid w:val="007107BF"/>
    <w:rsid w:val="007134D8"/>
    <w:rsid w:val="00713A75"/>
    <w:rsid w:val="00714D4E"/>
    <w:rsid w:val="007172F2"/>
    <w:rsid w:val="007200A8"/>
    <w:rsid w:val="0072081D"/>
    <w:rsid w:val="0072566A"/>
    <w:rsid w:val="0072701C"/>
    <w:rsid w:val="00727826"/>
    <w:rsid w:val="00727D77"/>
    <w:rsid w:val="00730C0C"/>
    <w:rsid w:val="00733581"/>
    <w:rsid w:val="0073592C"/>
    <w:rsid w:val="00735E2C"/>
    <w:rsid w:val="007419BF"/>
    <w:rsid w:val="00744CD0"/>
    <w:rsid w:val="007453C3"/>
    <w:rsid w:val="007461CA"/>
    <w:rsid w:val="00746567"/>
    <w:rsid w:val="0074753D"/>
    <w:rsid w:val="007509D5"/>
    <w:rsid w:val="00751582"/>
    <w:rsid w:val="00751B12"/>
    <w:rsid w:val="00752545"/>
    <w:rsid w:val="007526A6"/>
    <w:rsid w:val="0075326B"/>
    <w:rsid w:val="00754DB7"/>
    <w:rsid w:val="0075567E"/>
    <w:rsid w:val="00755B61"/>
    <w:rsid w:val="007562DC"/>
    <w:rsid w:val="00762DD7"/>
    <w:rsid w:val="00764FE1"/>
    <w:rsid w:val="00765D23"/>
    <w:rsid w:val="00766DDD"/>
    <w:rsid w:val="007674E8"/>
    <w:rsid w:val="00770714"/>
    <w:rsid w:val="0077269E"/>
    <w:rsid w:val="00773606"/>
    <w:rsid w:val="007746E2"/>
    <w:rsid w:val="00780FAF"/>
    <w:rsid w:val="00782486"/>
    <w:rsid w:val="00782C74"/>
    <w:rsid w:val="0078499A"/>
    <w:rsid w:val="00784E1C"/>
    <w:rsid w:val="0078621B"/>
    <w:rsid w:val="0078CFB8"/>
    <w:rsid w:val="00790E9C"/>
    <w:rsid w:val="00791D9A"/>
    <w:rsid w:val="00792491"/>
    <w:rsid w:val="00792F58"/>
    <w:rsid w:val="00793BFA"/>
    <w:rsid w:val="007949DC"/>
    <w:rsid w:val="007949E7"/>
    <w:rsid w:val="00795954"/>
    <w:rsid w:val="00796049"/>
    <w:rsid w:val="007A1358"/>
    <w:rsid w:val="007A233D"/>
    <w:rsid w:val="007A28B8"/>
    <w:rsid w:val="007A5C98"/>
    <w:rsid w:val="007B0F29"/>
    <w:rsid w:val="007B3351"/>
    <w:rsid w:val="007B4D8B"/>
    <w:rsid w:val="007B682C"/>
    <w:rsid w:val="007C0378"/>
    <w:rsid w:val="007C1543"/>
    <w:rsid w:val="007C1824"/>
    <w:rsid w:val="007C2A6B"/>
    <w:rsid w:val="007C40EF"/>
    <w:rsid w:val="007C4363"/>
    <w:rsid w:val="007C4A47"/>
    <w:rsid w:val="007C596F"/>
    <w:rsid w:val="007C6718"/>
    <w:rsid w:val="007C70D2"/>
    <w:rsid w:val="007D0B84"/>
    <w:rsid w:val="007D12ED"/>
    <w:rsid w:val="007D2222"/>
    <w:rsid w:val="007D30D7"/>
    <w:rsid w:val="007D568F"/>
    <w:rsid w:val="007D660F"/>
    <w:rsid w:val="007E1453"/>
    <w:rsid w:val="007E2C4C"/>
    <w:rsid w:val="007E31BA"/>
    <w:rsid w:val="007E36BF"/>
    <w:rsid w:val="007E3A42"/>
    <w:rsid w:val="007E4945"/>
    <w:rsid w:val="007E54DC"/>
    <w:rsid w:val="007E78D6"/>
    <w:rsid w:val="007E7C99"/>
    <w:rsid w:val="007F153D"/>
    <w:rsid w:val="007F3674"/>
    <w:rsid w:val="007F37FC"/>
    <w:rsid w:val="007F41F1"/>
    <w:rsid w:val="007F4A80"/>
    <w:rsid w:val="007F53B3"/>
    <w:rsid w:val="007F7A58"/>
    <w:rsid w:val="00802E75"/>
    <w:rsid w:val="00803C4C"/>
    <w:rsid w:val="008068AC"/>
    <w:rsid w:val="00810C4A"/>
    <w:rsid w:val="0081382A"/>
    <w:rsid w:val="00813DC3"/>
    <w:rsid w:val="00814317"/>
    <w:rsid w:val="00814E23"/>
    <w:rsid w:val="0081A216"/>
    <w:rsid w:val="00820C95"/>
    <w:rsid w:val="00822B41"/>
    <w:rsid w:val="00822D4F"/>
    <w:rsid w:val="0082611F"/>
    <w:rsid w:val="0082737D"/>
    <w:rsid w:val="008301EE"/>
    <w:rsid w:val="00831243"/>
    <w:rsid w:val="00831750"/>
    <w:rsid w:val="008322B0"/>
    <w:rsid w:val="00833468"/>
    <w:rsid w:val="00835775"/>
    <w:rsid w:val="00836A92"/>
    <w:rsid w:val="00837D74"/>
    <w:rsid w:val="008437A5"/>
    <w:rsid w:val="008467A9"/>
    <w:rsid w:val="00857311"/>
    <w:rsid w:val="0085792E"/>
    <w:rsid w:val="008609FC"/>
    <w:rsid w:val="00862ACE"/>
    <w:rsid w:val="00864F6F"/>
    <w:rsid w:val="00866011"/>
    <w:rsid w:val="00866DA5"/>
    <w:rsid w:val="00867500"/>
    <w:rsid w:val="00867BCE"/>
    <w:rsid w:val="00867D11"/>
    <w:rsid w:val="00877EB0"/>
    <w:rsid w:val="00883CE6"/>
    <w:rsid w:val="00885354"/>
    <w:rsid w:val="008862B2"/>
    <w:rsid w:val="00886E29"/>
    <w:rsid w:val="00891EA9"/>
    <w:rsid w:val="00895779"/>
    <w:rsid w:val="00896619"/>
    <w:rsid w:val="0089739D"/>
    <w:rsid w:val="008A2642"/>
    <w:rsid w:val="008A271F"/>
    <w:rsid w:val="008A3307"/>
    <w:rsid w:val="008A434C"/>
    <w:rsid w:val="008A54CA"/>
    <w:rsid w:val="008B17D4"/>
    <w:rsid w:val="008B3064"/>
    <w:rsid w:val="008B69DA"/>
    <w:rsid w:val="008C106C"/>
    <w:rsid w:val="008C1BE8"/>
    <w:rsid w:val="008C2D12"/>
    <w:rsid w:val="008C338A"/>
    <w:rsid w:val="008C463B"/>
    <w:rsid w:val="008C4EB5"/>
    <w:rsid w:val="008C64EF"/>
    <w:rsid w:val="008C7217"/>
    <w:rsid w:val="008C7240"/>
    <w:rsid w:val="008C7E78"/>
    <w:rsid w:val="008CECA7"/>
    <w:rsid w:val="008D09F5"/>
    <w:rsid w:val="008D36C2"/>
    <w:rsid w:val="008D79A2"/>
    <w:rsid w:val="008E0134"/>
    <w:rsid w:val="008E39B3"/>
    <w:rsid w:val="008E3DD4"/>
    <w:rsid w:val="008E5C0F"/>
    <w:rsid w:val="008F0A67"/>
    <w:rsid w:val="008F2D89"/>
    <w:rsid w:val="008F37FA"/>
    <w:rsid w:val="008F5E49"/>
    <w:rsid w:val="008F72A2"/>
    <w:rsid w:val="00904E88"/>
    <w:rsid w:val="009069BC"/>
    <w:rsid w:val="009108C5"/>
    <w:rsid w:val="00911188"/>
    <w:rsid w:val="00913024"/>
    <w:rsid w:val="00914DBA"/>
    <w:rsid w:val="00915AD3"/>
    <w:rsid w:val="00916C14"/>
    <w:rsid w:val="00923A27"/>
    <w:rsid w:val="00923F38"/>
    <w:rsid w:val="00924D73"/>
    <w:rsid w:val="009260F3"/>
    <w:rsid w:val="00927144"/>
    <w:rsid w:val="009273FC"/>
    <w:rsid w:val="009306B6"/>
    <w:rsid w:val="00933660"/>
    <w:rsid w:val="00934C73"/>
    <w:rsid w:val="00935ABE"/>
    <w:rsid w:val="00937D38"/>
    <w:rsid w:val="0094173E"/>
    <w:rsid w:val="0094206F"/>
    <w:rsid w:val="0094399E"/>
    <w:rsid w:val="00943F9C"/>
    <w:rsid w:val="00944F0E"/>
    <w:rsid w:val="009468CB"/>
    <w:rsid w:val="00946BD4"/>
    <w:rsid w:val="00947D53"/>
    <w:rsid w:val="0095161A"/>
    <w:rsid w:val="00952594"/>
    <w:rsid w:val="00953327"/>
    <w:rsid w:val="009534ED"/>
    <w:rsid w:val="009563F0"/>
    <w:rsid w:val="00960D20"/>
    <w:rsid w:val="00960DBB"/>
    <w:rsid w:val="00962EC1"/>
    <w:rsid w:val="00964391"/>
    <w:rsid w:val="00965D0E"/>
    <w:rsid w:val="00966F96"/>
    <w:rsid w:val="0096700D"/>
    <w:rsid w:val="009670C4"/>
    <w:rsid w:val="009708BD"/>
    <w:rsid w:val="00971419"/>
    <w:rsid w:val="00971634"/>
    <w:rsid w:val="00973105"/>
    <w:rsid w:val="00973556"/>
    <w:rsid w:val="00973FEF"/>
    <w:rsid w:val="00974914"/>
    <w:rsid w:val="009758C1"/>
    <w:rsid w:val="00976CFD"/>
    <w:rsid w:val="00982F96"/>
    <w:rsid w:val="00984B17"/>
    <w:rsid w:val="00985000"/>
    <w:rsid w:val="00990A5E"/>
    <w:rsid w:val="009917FA"/>
    <w:rsid w:val="00996BBB"/>
    <w:rsid w:val="009A11EB"/>
    <w:rsid w:val="009A11FB"/>
    <w:rsid w:val="009A35B0"/>
    <w:rsid w:val="009A4ADE"/>
    <w:rsid w:val="009A513F"/>
    <w:rsid w:val="009A584B"/>
    <w:rsid w:val="009B1D51"/>
    <w:rsid w:val="009B1E4E"/>
    <w:rsid w:val="009B6DE7"/>
    <w:rsid w:val="009C049C"/>
    <w:rsid w:val="009C08CC"/>
    <w:rsid w:val="009C0DC5"/>
    <w:rsid w:val="009C3AC1"/>
    <w:rsid w:val="009C72D1"/>
    <w:rsid w:val="009D2442"/>
    <w:rsid w:val="009E007F"/>
    <w:rsid w:val="009E01A3"/>
    <w:rsid w:val="009E0722"/>
    <w:rsid w:val="009E118A"/>
    <w:rsid w:val="009E15AD"/>
    <w:rsid w:val="009E2BBB"/>
    <w:rsid w:val="009E2F4D"/>
    <w:rsid w:val="009E4227"/>
    <w:rsid w:val="009E5DA9"/>
    <w:rsid w:val="009E626D"/>
    <w:rsid w:val="009F1736"/>
    <w:rsid w:val="00A00655"/>
    <w:rsid w:val="00A00693"/>
    <w:rsid w:val="00A00F16"/>
    <w:rsid w:val="00A01DFE"/>
    <w:rsid w:val="00A06CED"/>
    <w:rsid w:val="00A079C2"/>
    <w:rsid w:val="00A15527"/>
    <w:rsid w:val="00A15CD9"/>
    <w:rsid w:val="00A160F1"/>
    <w:rsid w:val="00A164D4"/>
    <w:rsid w:val="00A16597"/>
    <w:rsid w:val="00A179D0"/>
    <w:rsid w:val="00A25F42"/>
    <w:rsid w:val="00A30170"/>
    <w:rsid w:val="00A30434"/>
    <w:rsid w:val="00A31DAB"/>
    <w:rsid w:val="00A3375E"/>
    <w:rsid w:val="00A33FFF"/>
    <w:rsid w:val="00A340CC"/>
    <w:rsid w:val="00A35008"/>
    <w:rsid w:val="00A367EA"/>
    <w:rsid w:val="00A374D3"/>
    <w:rsid w:val="00A40938"/>
    <w:rsid w:val="00A414FC"/>
    <w:rsid w:val="00A42790"/>
    <w:rsid w:val="00A42BA6"/>
    <w:rsid w:val="00A42CE3"/>
    <w:rsid w:val="00A43B90"/>
    <w:rsid w:val="00A443CB"/>
    <w:rsid w:val="00A455FA"/>
    <w:rsid w:val="00A47BB3"/>
    <w:rsid w:val="00A50E73"/>
    <w:rsid w:val="00A52CC8"/>
    <w:rsid w:val="00A57A28"/>
    <w:rsid w:val="00A60991"/>
    <w:rsid w:val="00A624AC"/>
    <w:rsid w:val="00A6438C"/>
    <w:rsid w:val="00A670FB"/>
    <w:rsid w:val="00A67F91"/>
    <w:rsid w:val="00A7067D"/>
    <w:rsid w:val="00A72502"/>
    <w:rsid w:val="00A72EBA"/>
    <w:rsid w:val="00A7732F"/>
    <w:rsid w:val="00A77471"/>
    <w:rsid w:val="00A82F9F"/>
    <w:rsid w:val="00A83B03"/>
    <w:rsid w:val="00A84CC6"/>
    <w:rsid w:val="00A86D95"/>
    <w:rsid w:val="00A957FC"/>
    <w:rsid w:val="00AA0389"/>
    <w:rsid w:val="00AA058F"/>
    <w:rsid w:val="00AA1853"/>
    <w:rsid w:val="00AB04C5"/>
    <w:rsid w:val="00AB30E2"/>
    <w:rsid w:val="00AB5BA4"/>
    <w:rsid w:val="00AB69BF"/>
    <w:rsid w:val="00AB7EEB"/>
    <w:rsid w:val="00AC0739"/>
    <w:rsid w:val="00AC07F9"/>
    <w:rsid w:val="00AC0BB5"/>
    <w:rsid w:val="00AC117A"/>
    <w:rsid w:val="00AC135F"/>
    <w:rsid w:val="00AC2412"/>
    <w:rsid w:val="00AC37A4"/>
    <w:rsid w:val="00AC3D07"/>
    <w:rsid w:val="00AC4A42"/>
    <w:rsid w:val="00AC4DF2"/>
    <w:rsid w:val="00AC64C3"/>
    <w:rsid w:val="00AC6A5D"/>
    <w:rsid w:val="00AC6F60"/>
    <w:rsid w:val="00AD0C95"/>
    <w:rsid w:val="00AD2BE5"/>
    <w:rsid w:val="00AD4535"/>
    <w:rsid w:val="00AE0017"/>
    <w:rsid w:val="00AE3180"/>
    <w:rsid w:val="00AE32FD"/>
    <w:rsid w:val="00AE34A3"/>
    <w:rsid w:val="00AE3991"/>
    <w:rsid w:val="00AE4B82"/>
    <w:rsid w:val="00AE4E6E"/>
    <w:rsid w:val="00AE4F7F"/>
    <w:rsid w:val="00AF5C11"/>
    <w:rsid w:val="00AF70F3"/>
    <w:rsid w:val="00B014DB"/>
    <w:rsid w:val="00B035E5"/>
    <w:rsid w:val="00B03A89"/>
    <w:rsid w:val="00B03E05"/>
    <w:rsid w:val="00B06A8C"/>
    <w:rsid w:val="00B074D1"/>
    <w:rsid w:val="00B104DD"/>
    <w:rsid w:val="00B11A18"/>
    <w:rsid w:val="00B1649B"/>
    <w:rsid w:val="00B16B9C"/>
    <w:rsid w:val="00B1737E"/>
    <w:rsid w:val="00B23E5E"/>
    <w:rsid w:val="00B259B5"/>
    <w:rsid w:val="00B25C33"/>
    <w:rsid w:val="00B329B2"/>
    <w:rsid w:val="00B34CA1"/>
    <w:rsid w:val="00B351A0"/>
    <w:rsid w:val="00B35AFF"/>
    <w:rsid w:val="00B372B6"/>
    <w:rsid w:val="00B40D80"/>
    <w:rsid w:val="00B41F56"/>
    <w:rsid w:val="00B43C07"/>
    <w:rsid w:val="00B4409B"/>
    <w:rsid w:val="00B46150"/>
    <w:rsid w:val="00B505B9"/>
    <w:rsid w:val="00B50D38"/>
    <w:rsid w:val="00B54700"/>
    <w:rsid w:val="00B561E8"/>
    <w:rsid w:val="00B577D2"/>
    <w:rsid w:val="00B6465A"/>
    <w:rsid w:val="00B705D4"/>
    <w:rsid w:val="00B70E25"/>
    <w:rsid w:val="00B713F8"/>
    <w:rsid w:val="00B71667"/>
    <w:rsid w:val="00B76220"/>
    <w:rsid w:val="00B80949"/>
    <w:rsid w:val="00B82220"/>
    <w:rsid w:val="00B82BF8"/>
    <w:rsid w:val="00B9356F"/>
    <w:rsid w:val="00B94A44"/>
    <w:rsid w:val="00B95AD3"/>
    <w:rsid w:val="00B96FF5"/>
    <w:rsid w:val="00BA06D7"/>
    <w:rsid w:val="00BA1A89"/>
    <w:rsid w:val="00BA2F10"/>
    <w:rsid w:val="00BA7BFE"/>
    <w:rsid w:val="00BB08EF"/>
    <w:rsid w:val="00BB1702"/>
    <w:rsid w:val="00BB24C9"/>
    <w:rsid w:val="00BB2AD4"/>
    <w:rsid w:val="00BB3746"/>
    <w:rsid w:val="00BB5C8D"/>
    <w:rsid w:val="00BC13AB"/>
    <w:rsid w:val="00BC1D6E"/>
    <w:rsid w:val="00BC2F53"/>
    <w:rsid w:val="00BC2F87"/>
    <w:rsid w:val="00BC4918"/>
    <w:rsid w:val="00BD1FDE"/>
    <w:rsid w:val="00BD24A7"/>
    <w:rsid w:val="00BD2FE5"/>
    <w:rsid w:val="00BD3371"/>
    <w:rsid w:val="00BD392D"/>
    <w:rsid w:val="00BD59C4"/>
    <w:rsid w:val="00BD680E"/>
    <w:rsid w:val="00BD75B7"/>
    <w:rsid w:val="00BE1391"/>
    <w:rsid w:val="00BE22D7"/>
    <w:rsid w:val="00BE2734"/>
    <w:rsid w:val="00BE3B54"/>
    <w:rsid w:val="00BE4D26"/>
    <w:rsid w:val="00BE65B1"/>
    <w:rsid w:val="00BF3D27"/>
    <w:rsid w:val="00BF7454"/>
    <w:rsid w:val="00BF7B91"/>
    <w:rsid w:val="00C0040A"/>
    <w:rsid w:val="00C005F6"/>
    <w:rsid w:val="00C02880"/>
    <w:rsid w:val="00C033A9"/>
    <w:rsid w:val="00C03659"/>
    <w:rsid w:val="00C0539E"/>
    <w:rsid w:val="00C059D5"/>
    <w:rsid w:val="00C07A94"/>
    <w:rsid w:val="00C13349"/>
    <w:rsid w:val="00C15035"/>
    <w:rsid w:val="00C16889"/>
    <w:rsid w:val="00C16F9A"/>
    <w:rsid w:val="00C1743E"/>
    <w:rsid w:val="00C23F0F"/>
    <w:rsid w:val="00C24A5D"/>
    <w:rsid w:val="00C254EC"/>
    <w:rsid w:val="00C26416"/>
    <w:rsid w:val="00C269C6"/>
    <w:rsid w:val="00C31C47"/>
    <w:rsid w:val="00C33EE8"/>
    <w:rsid w:val="00C3493C"/>
    <w:rsid w:val="00C36201"/>
    <w:rsid w:val="00C37E2E"/>
    <w:rsid w:val="00C41403"/>
    <w:rsid w:val="00C50693"/>
    <w:rsid w:val="00C5184C"/>
    <w:rsid w:val="00C51FA2"/>
    <w:rsid w:val="00C535EE"/>
    <w:rsid w:val="00C54597"/>
    <w:rsid w:val="00C563F2"/>
    <w:rsid w:val="00C62B40"/>
    <w:rsid w:val="00C64C5F"/>
    <w:rsid w:val="00C67312"/>
    <w:rsid w:val="00C67AA1"/>
    <w:rsid w:val="00C70324"/>
    <w:rsid w:val="00C75A33"/>
    <w:rsid w:val="00C75B40"/>
    <w:rsid w:val="00C83F23"/>
    <w:rsid w:val="00C84C78"/>
    <w:rsid w:val="00C903FF"/>
    <w:rsid w:val="00C91AE3"/>
    <w:rsid w:val="00C92CBA"/>
    <w:rsid w:val="00C92F1F"/>
    <w:rsid w:val="00C94758"/>
    <w:rsid w:val="00C97767"/>
    <w:rsid w:val="00CA0C8A"/>
    <w:rsid w:val="00CA0F67"/>
    <w:rsid w:val="00CA3632"/>
    <w:rsid w:val="00CA4027"/>
    <w:rsid w:val="00CA414C"/>
    <w:rsid w:val="00CA5B1B"/>
    <w:rsid w:val="00CA7BED"/>
    <w:rsid w:val="00CB0492"/>
    <w:rsid w:val="00CB1693"/>
    <w:rsid w:val="00CB1730"/>
    <w:rsid w:val="00CB2B7A"/>
    <w:rsid w:val="00CB713A"/>
    <w:rsid w:val="00CB726E"/>
    <w:rsid w:val="00CC17EB"/>
    <w:rsid w:val="00CC17F3"/>
    <w:rsid w:val="00CC2E65"/>
    <w:rsid w:val="00CC3D96"/>
    <w:rsid w:val="00CC66ED"/>
    <w:rsid w:val="00CD19BF"/>
    <w:rsid w:val="00CD46E7"/>
    <w:rsid w:val="00CD5D2F"/>
    <w:rsid w:val="00CD6587"/>
    <w:rsid w:val="00CD6AE2"/>
    <w:rsid w:val="00CD76CC"/>
    <w:rsid w:val="00CE0673"/>
    <w:rsid w:val="00CE2FDF"/>
    <w:rsid w:val="00CE3AEC"/>
    <w:rsid w:val="00CE713A"/>
    <w:rsid w:val="00CE7915"/>
    <w:rsid w:val="00CF24DC"/>
    <w:rsid w:val="00CF3946"/>
    <w:rsid w:val="00CF3D5C"/>
    <w:rsid w:val="00CF6154"/>
    <w:rsid w:val="00CF771C"/>
    <w:rsid w:val="00CF7AE6"/>
    <w:rsid w:val="00D005C5"/>
    <w:rsid w:val="00D01DEB"/>
    <w:rsid w:val="00D026FC"/>
    <w:rsid w:val="00D04B05"/>
    <w:rsid w:val="00D04EA0"/>
    <w:rsid w:val="00D05B92"/>
    <w:rsid w:val="00D05E86"/>
    <w:rsid w:val="00D05FD4"/>
    <w:rsid w:val="00D061F7"/>
    <w:rsid w:val="00D06FA7"/>
    <w:rsid w:val="00D07146"/>
    <w:rsid w:val="00D071D7"/>
    <w:rsid w:val="00D075A5"/>
    <w:rsid w:val="00D079B7"/>
    <w:rsid w:val="00D109F0"/>
    <w:rsid w:val="00D10CD6"/>
    <w:rsid w:val="00D11056"/>
    <w:rsid w:val="00D14ACA"/>
    <w:rsid w:val="00D15D16"/>
    <w:rsid w:val="00D17AAB"/>
    <w:rsid w:val="00D17C47"/>
    <w:rsid w:val="00D21BDC"/>
    <w:rsid w:val="00D315CD"/>
    <w:rsid w:val="00D3442B"/>
    <w:rsid w:val="00D35023"/>
    <w:rsid w:val="00D40B59"/>
    <w:rsid w:val="00D47F5B"/>
    <w:rsid w:val="00D525CB"/>
    <w:rsid w:val="00D54979"/>
    <w:rsid w:val="00D60DC0"/>
    <w:rsid w:val="00D60E48"/>
    <w:rsid w:val="00D6398F"/>
    <w:rsid w:val="00D63C41"/>
    <w:rsid w:val="00D7345D"/>
    <w:rsid w:val="00D73E94"/>
    <w:rsid w:val="00D746D4"/>
    <w:rsid w:val="00D75CE3"/>
    <w:rsid w:val="00D7621C"/>
    <w:rsid w:val="00D76759"/>
    <w:rsid w:val="00D76E98"/>
    <w:rsid w:val="00D81C74"/>
    <w:rsid w:val="00D84C3F"/>
    <w:rsid w:val="00D85F04"/>
    <w:rsid w:val="00D85FB0"/>
    <w:rsid w:val="00D864A6"/>
    <w:rsid w:val="00D8E770"/>
    <w:rsid w:val="00D9156A"/>
    <w:rsid w:val="00D93A86"/>
    <w:rsid w:val="00D94471"/>
    <w:rsid w:val="00D9527C"/>
    <w:rsid w:val="00D9567E"/>
    <w:rsid w:val="00D96813"/>
    <w:rsid w:val="00D96E02"/>
    <w:rsid w:val="00DA1907"/>
    <w:rsid w:val="00DA1CB1"/>
    <w:rsid w:val="00DA255B"/>
    <w:rsid w:val="00DA4639"/>
    <w:rsid w:val="00DA466B"/>
    <w:rsid w:val="00DA744A"/>
    <w:rsid w:val="00DB1A3F"/>
    <w:rsid w:val="00DB31AB"/>
    <w:rsid w:val="00DB44E5"/>
    <w:rsid w:val="00DB4BCE"/>
    <w:rsid w:val="00DB518B"/>
    <w:rsid w:val="00DB545F"/>
    <w:rsid w:val="00DB7949"/>
    <w:rsid w:val="00DB7B9D"/>
    <w:rsid w:val="00DC0FA9"/>
    <w:rsid w:val="00DC2215"/>
    <w:rsid w:val="00DC64CC"/>
    <w:rsid w:val="00DD04AC"/>
    <w:rsid w:val="00DD109C"/>
    <w:rsid w:val="00DD1BA5"/>
    <w:rsid w:val="00DD3740"/>
    <w:rsid w:val="00DD3F43"/>
    <w:rsid w:val="00DD49EE"/>
    <w:rsid w:val="00DDD318"/>
    <w:rsid w:val="00DE1896"/>
    <w:rsid w:val="00DE317B"/>
    <w:rsid w:val="00DE7BBE"/>
    <w:rsid w:val="00DF1E65"/>
    <w:rsid w:val="00DF2C48"/>
    <w:rsid w:val="00DF30C6"/>
    <w:rsid w:val="00DF3142"/>
    <w:rsid w:val="00DF4C41"/>
    <w:rsid w:val="00DF55DF"/>
    <w:rsid w:val="00DF5E98"/>
    <w:rsid w:val="00DF7984"/>
    <w:rsid w:val="00E01B1F"/>
    <w:rsid w:val="00E01FB5"/>
    <w:rsid w:val="00E05057"/>
    <w:rsid w:val="00E05C73"/>
    <w:rsid w:val="00E0767E"/>
    <w:rsid w:val="00E10BF4"/>
    <w:rsid w:val="00E122E3"/>
    <w:rsid w:val="00E20668"/>
    <w:rsid w:val="00E241D7"/>
    <w:rsid w:val="00E251D7"/>
    <w:rsid w:val="00E26864"/>
    <w:rsid w:val="00E26F1E"/>
    <w:rsid w:val="00E2744C"/>
    <w:rsid w:val="00E305EF"/>
    <w:rsid w:val="00E436FF"/>
    <w:rsid w:val="00E44DE1"/>
    <w:rsid w:val="00E51B64"/>
    <w:rsid w:val="00E5234F"/>
    <w:rsid w:val="00E52FB6"/>
    <w:rsid w:val="00E55455"/>
    <w:rsid w:val="00E57113"/>
    <w:rsid w:val="00E57D11"/>
    <w:rsid w:val="00E621DF"/>
    <w:rsid w:val="00E63F2E"/>
    <w:rsid w:val="00E65B6F"/>
    <w:rsid w:val="00E6699F"/>
    <w:rsid w:val="00E66FD8"/>
    <w:rsid w:val="00E67387"/>
    <w:rsid w:val="00E67E04"/>
    <w:rsid w:val="00E728F5"/>
    <w:rsid w:val="00E7338B"/>
    <w:rsid w:val="00E85DFB"/>
    <w:rsid w:val="00E86549"/>
    <w:rsid w:val="00E90A35"/>
    <w:rsid w:val="00E91EDB"/>
    <w:rsid w:val="00E936FC"/>
    <w:rsid w:val="00E93951"/>
    <w:rsid w:val="00E956E4"/>
    <w:rsid w:val="00E9707E"/>
    <w:rsid w:val="00E97368"/>
    <w:rsid w:val="00E97E68"/>
    <w:rsid w:val="00EA1646"/>
    <w:rsid w:val="00EA4274"/>
    <w:rsid w:val="00EA4922"/>
    <w:rsid w:val="00EA52EF"/>
    <w:rsid w:val="00EA7923"/>
    <w:rsid w:val="00EA819B"/>
    <w:rsid w:val="00EB0647"/>
    <w:rsid w:val="00EB0EE9"/>
    <w:rsid w:val="00EB1BA3"/>
    <w:rsid w:val="00EB1D6C"/>
    <w:rsid w:val="00EB4DD4"/>
    <w:rsid w:val="00EB4E02"/>
    <w:rsid w:val="00EB7C39"/>
    <w:rsid w:val="00EC17DF"/>
    <w:rsid w:val="00EC685F"/>
    <w:rsid w:val="00EC7B8B"/>
    <w:rsid w:val="00ED0D0A"/>
    <w:rsid w:val="00ED11CD"/>
    <w:rsid w:val="00ED5292"/>
    <w:rsid w:val="00ED5AFF"/>
    <w:rsid w:val="00ED5B4B"/>
    <w:rsid w:val="00ED6179"/>
    <w:rsid w:val="00ED7992"/>
    <w:rsid w:val="00ED7FCD"/>
    <w:rsid w:val="00EE0F7F"/>
    <w:rsid w:val="00EE1CBB"/>
    <w:rsid w:val="00EE2E62"/>
    <w:rsid w:val="00EE337D"/>
    <w:rsid w:val="00EE472C"/>
    <w:rsid w:val="00EE4F76"/>
    <w:rsid w:val="00EE65D4"/>
    <w:rsid w:val="00EF207A"/>
    <w:rsid w:val="00EF374C"/>
    <w:rsid w:val="00EF691C"/>
    <w:rsid w:val="00F041BD"/>
    <w:rsid w:val="00F05021"/>
    <w:rsid w:val="00F10E97"/>
    <w:rsid w:val="00F11B8A"/>
    <w:rsid w:val="00F12462"/>
    <w:rsid w:val="00F12E5D"/>
    <w:rsid w:val="00F143A7"/>
    <w:rsid w:val="00F14AF7"/>
    <w:rsid w:val="00F16101"/>
    <w:rsid w:val="00F17BED"/>
    <w:rsid w:val="00F202FF"/>
    <w:rsid w:val="00F210C0"/>
    <w:rsid w:val="00F211B2"/>
    <w:rsid w:val="00F2134F"/>
    <w:rsid w:val="00F21D6A"/>
    <w:rsid w:val="00F258C1"/>
    <w:rsid w:val="00F273E3"/>
    <w:rsid w:val="00F345AC"/>
    <w:rsid w:val="00F35299"/>
    <w:rsid w:val="00F35525"/>
    <w:rsid w:val="00F356B5"/>
    <w:rsid w:val="00F35C75"/>
    <w:rsid w:val="00F36953"/>
    <w:rsid w:val="00F36C78"/>
    <w:rsid w:val="00F4099E"/>
    <w:rsid w:val="00F429C0"/>
    <w:rsid w:val="00F43B59"/>
    <w:rsid w:val="00F45151"/>
    <w:rsid w:val="00F45912"/>
    <w:rsid w:val="00F46648"/>
    <w:rsid w:val="00F524AB"/>
    <w:rsid w:val="00F53D4D"/>
    <w:rsid w:val="00F56BA7"/>
    <w:rsid w:val="00F57590"/>
    <w:rsid w:val="00F57CA1"/>
    <w:rsid w:val="00F60C65"/>
    <w:rsid w:val="00F61CF0"/>
    <w:rsid w:val="00F73491"/>
    <w:rsid w:val="00F74198"/>
    <w:rsid w:val="00F75F01"/>
    <w:rsid w:val="00F7664D"/>
    <w:rsid w:val="00F77974"/>
    <w:rsid w:val="00F82A3A"/>
    <w:rsid w:val="00F83B04"/>
    <w:rsid w:val="00F85AED"/>
    <w:rsid w:val="00F86EE8"/>
    <w:rsid w:val="00F874AA"/>
    <w:rsid w:val="00F919F9"/>
    <w:rsid w:val="00F92246"/>
    <w:rsid w:val="00F92493"/>
    <w:rsid w:val="00F92FF7"/>
    <w:rsid w:val="00F93414"/>
    <w:rsid w:val="00F93912"/>
    <w:rsid w:val="00F944F6"/>
    <w:rsid w:val="00F9490E"/>
    <w:rsid w:val="00F94CE2"/>
    <w:rsid w:val="00F9538A"/>
    <w:rsid w:val="00FA34EE"/>
    <w:rsid w:val="00FA6939"/>
    <w:rsid w:val="00FA79DE"/>
    <w:rsid w:val="00FB176F"/>
    <w:rsid w:val="00FB19B1"/>
    <w:rsid w:val="00FB1D30"/>
    <w:rsid w:val="00FB1D84"/>
    <w:rsid w:val="00FB2FA6"/>
    <w:rsid w:val="00FB41E4"/>
    <w:rsid w:val="00FB4F9A"/>
    <w:rsid w:val="00FC051C"/>
    <w:rsid w:val="00FC361A"/>
    <w:rsid w:val="00FC5CC9"/>
    <w:rsid w:val="00FD06CC"/>
    <w:rsid w:val="00FD4191"/>
    <w:rsid w:val="00FD4306"/>
    <w:rsid w:val="00FD484C"/>
    <w:rsid w:val="00FD4FB2"/>
    <w:rsid w:val="00FD56EC"/>
    <w:rsid w:val="00FD579C"/>
    <w:rsid w:val="00FD6250"/>
    <w:rsid w:val="00FE5423"/>
    <w:rsid w:val="00FF2265"/>
    <w:rsid w:val="00FF24CD"/>
    <w:rsid w:val="00FF2882"/>
    <w:rsid w:val="00FF2E17"/>
    <w:rsid w:val="00FF312D"/>
    <w:rsid w:val="00FF75E2"/>
    <w:rsid w:val="00FF7F5A"/>
    <w:rsid w:val="010169B1"/>
    <w:rsid w:val="011F957C"/>
    <w:rsid w:val="01260A24"/>
    <w:rsid w:val="01501271"/>
    <w:rsid w:val="01532342"/>
    <w:rsid w:val="0195E68E"/>
    <w:rsid w:val="01B34023"/>
    <w:rsid w:val="01B4F179"/>
    <w:rsid w:val="01BBACBA"/>
    <w:rsid w:val="01C92DAA"/>
    <w:rsid w:val="01D36645"/>
    <w:rsid w:val="01E497F5"/>
    <w:rsid w:val="01FFC27D"/>
    <w:rsid w:val="02150548"/>
    <w:rsid w:val="023F2E63"/>
    <w:rsid w:val="024E0E42"/>
    <w:rsid w:val="02517482"/>
    <w:rsid w:val="025564F1"/>
    <w:rsid w:val="02723BEB"/>
    <w:rsid w:val="02B15CA9"/>
    <w:rsid w:val="02C859E1"/>
    <w:rsid w:val="02E8A1F8"/>
    <w:rsid w:val="030EE7FA"/>
    <w:rsid w:val="0315337C"/>
    <w:rsid w:val="0317CB48"/>
    <w:rsid w:val="031FF6B1"/>
    <w:rsid w:val="032254E5"/>
    <w:rsid w:val="0324D1B3"/>
    <w:rsid w:val="034DA7CA"/>
    <w:rsid w:val="035E0946"/>
    <w:rsid w:val="036FBD72"/>
    <w:rsid w:val="0384F60E"/>
    <w:rsid w:val="038A0A3B"/>
    <w:rsid w:val="03A33792"/>
    <w:rsid w:val="03A3EDC8"/>
    <w:rsid w:val="03A95B79"/>
    <w:rsid w:val="03AEB38A"/>
    <w:rsid w:val="03D8B023"/>
    <w:rsid w:val="03F45EF2"/>
    <w:rsid w:val="03F53B9F"/>
    <w:rsid w:val="03FC19A7"/>
    <w:rsid w:val="0403BAC4"/>
    <w:rsid w:val="04059C5B"/>
    <w:rsid w:val="040BD550"/>
    <w:rsid w:val="04438984"/>
    <w:rsid w:val="044F7CB6"/>
    <w:rsid w:val="04726E05"/>
    <w:rsid w:val="048D6B9B"/>
    <w:rsid w:val="04B366B0"/>
    <w:rsid w:val="04B5D29B"/>
    <w:rsid w:val="04BCC01E"/>
    <w:rsid w:val="04CBC211"/>
    <w:rsid w:val="04E5CFD9"/>
    <w:rsid w:val="050F26BA"/>
    <w:rsid w:val="0515F844"/>
    <w:rsid w:val="0521C710"/>
    <w:rsid w:val="0529926B"/>
    <w:rsid w:val="052CD70B"/>
    <w:rsid w:val="05316286"/>
    <w:rsid w:val="0568DC88"/>
    <w:rsid w:val="057AF40D"/>
    <w:rsid w:val="058E8188"/>
    <w:rsid w:val="05908F9A"/>
    <w:rsid w:val="05B86DDC"/>
    <w:rsid w:val="05C2C786"/>
    <w:rsid w:val="05C55D4B"/>
    <w:rsid w:val="05C5F812"/>
    <w:rsid w:val="05D6199A"/>
    <w:rsid w:val="05E2C2BF"/>
    <w:rsid w:val="05FD2E4E"/>
    <w:rsid w:val="061BAC68"/>
    <w:rsid w:val="063BBEA1"/>
    <w:rsid w:val="064752ED"/>
    <w:rsid w:val="06540BCC"/>
    <w:rsid w:val="068B1AEC"/>
    <w:rsid w:val="069224E1"/>
    <w:rsid w:val="06995648"/>
    <w:rsid w:val="069EAA91"/>
    <w:rsid w:val="06B77B3A"/>
    <w:rsid w:val="06C8A76C"/>
    <w:rsid w:val="070952D5"/>
    <w:rsid w:val="0716742D"/>
    <w:rsid w:val="0736B364"/>
    <w:rsid w:val="07403FCE"/>
    <w:rsid w:val="07433E09"/>
    <w:rsid w:val="07832D7B"/>
    <w:rsid w:val="079BFDD5"/>
    <w:rsid w:val="079D2815"/>
    <w:rsid w:val="079FDFCD"/>
    <w:rsid w:val="07A045D5"/>
    <w:rsid w:val="07A2526C"/>
    <w:rsid w:val="07AF2AF5"/>
    <w:rsid w:val="07B6DFAB"/>
    <w:rsid w:val="07DE25B7"/>
    <w:rsid w:val="07E5A93B"/>
    <w:rsid w:val="07E831CA"/>
    <w:rsid w:val="07ED1F11"/>
    <w:rsid w:val="07FF9006"/>
    <w:rsid w:val="0817843B"/>
    <w:rsid w:val="083C171B"/>
    <w:rsid w:val="083D7311"/>
    <w:rsid w:val="0846185A"/>
    <w:rsid w:val="0849CE94"/>
    <w:rsid w:val="0852D9B2"/>
    <w:rsid w:val="0881F73B"/>
    <w:rsid w:val="08A5CDAF"/>
    <w:rsid w:val="08B37587"/>
    <w:rsid w:val="08D9BC69"/>
    <w:rsid w:val="08E50113"/>
    <w:rsid w:val="08E8C910"/>
    <w:rsid w:val="08EDD8CB"/>
    <w:rsid w:val="08FBD447"/>
    <w:rsid w:val="09116997"/>
    <w:rsid w:val="0920D8F8"/>
    <w:rsid w:val="092FA334"/>
    <w:rsid w:val="096C6E1B"/>
    <w:rsid w:val="097B9635"/>
    <w:rsid w:val="098B4621"/>
    <w:rsid w:val="098F7E75"/>
    <w:rsid w:val="09971B7A"/>
    <w:rsid w:val="0997E508"/>
    <w:rsid w:val="09A7F568"/>
    <w:rsid w:val="09AC131F"/>
    <w:rsid w:val="09C2BCBD"/>
    <w:rsid w:val="09D0A653"/>
    <w:rsid w:val="09D94372"/>
    <w:rsid w:val="09DC3EE9"/>
    <w:rsid w:val="0A11C527"/>
    <w:rsid w:val="0A1A760E"/>
    <w:rsid w:val="0A1AAE14"/>
    <w:rsid w:val="0A1B0AED"/>
    <w:rsid w:val="0A2F8060"/>
    <w:rsid w:val="0A3FECE0"/>
    <w:rsid w:val="0A5BA0F2"/>
    <w:rsid w:val="0A6F11EE"/>
    <w:rsid w:val="0AA0637B"/>
    <w:rsid w:val="0AA10681"/>
    <w:rsid w:val="0ABEBE3A"/>
    <w:rsid w:val="0AC115CF"/>
    <w:rsid w:val="0AE50060"/>
    <w:rsid w:val="0B4EC035"/>
    <w:rsid w:val="0B77B52D"/>
    <w:rsid w:val="0B816F56"/>
    <w:rsid w:val="0B9FD56A"/>
    <w:rsid w:val="0BB997FD"/>
    <w:rsid w:val="0BC6B62F"/>
    <w:rsid w:val="0BCE683C"/>
    <w:rsid w:val="0BE0848C"/>
    <w:rsid w:val="0BE2E07E"/>
    <w:rsid w:val="0BFE2A24"/>
    <w:rsid w:val="0C0AA083"/>
    <w:rsid w:val="0C153F35"/>
    <w:rsid w:val="0C1A838B"/>
    <w:rsid w:val="0C2CCF9B"/>
    <w:rsid w:val="0C4E9B69"/>
    <w:rsid w:val="0CA1CA28"/>
    <w:rsid w:val="0CB3E29B"/>
    <w:rsid w:val="0CD4AFE7"/>
    <w:rsid w:val="0CE6F3B8"/>
    <w:rsid w:val="0CF05AB3"/>
    <w:rsid w:val="0CFE9CED"/>
    <w:rsid w:val="0D146FED"/>
    <w:rsid w:val="0D1C8AEC"/>
    <w:rsid w:val="0D37DF4B"/>
    <w:rsid w:val="0D6552CC"/>
    <w:rsid w:val="0D789012"/>
    <w:rsid w:val="0D80228B"/>
    <w:rsid w:val="0D8509D3"/>
    <w:rsid w:val="0DA4920D"/>
    <w:rsid w:val="0DC6774B"/>
    <w:rsid w:val="0DE0ECC8"/>
    <w:rsid w:val="0E232B9E"/>
    <w:rsid w:val="0E30F1C4"/>
    <w:rsid w:val="0E3AC895"/>
    <w:rsid w:val="0E43AFE8"/>
    <w:rsid w:val="0E5328B7"/>
    <w:rsid w:val="0E56D7CF"/>
    <w:rsid w:val="0E71DC5A"/>
    <w:rsid w:val="0E828CFC"/>
    <w:rsid w:val="0E834A2D"/>
    <w:rsid w:val="0E967372"/>
    <w:rsid w:val="0EC192A2"/>
    <w:rsid w:val="0ED1622E"/>
    <w:rsid w:val="0EEB3ED4"/>
    <w:rsid w:val="0EFFF90D"/>
    <w:rsid w:val="0F084E9A"/>
    <w:rsid w:val="0F1724B9"/>
    <w:rsid w:val="0F33FCAD"/>
    <w:rsid w:val="0F57F7AC"/>
    <w:rsid w:val="0F598348"/>
    <w:rsid w:val="0F5BA626"/>
    <w:rsid w:val="0F78BACF"/>
    <w:rsid w:val="0F7EEFDB"/>
    <w:rsid w:val="0F80B455"/>
    <w:rsid w:val="0F870F37"/>
    <w:rsid w:val="0F922F5D"/>
    <w:rsid w:val="0FB2A925"/>
    <w:rsid w:val="0FBD05FB"/>
    <w:rsid w:val="0FBEFBFF"/>
    <w:rsid w:val="0FD5D71F"/>
    <w:rsid w:val="0FE6316D"/>
    <w:rsid w:val="1034706B"/>
    <w:rsid w:val="10710FB4"/>
    <w:rsid w:val="107A7A8D"/>
    <w:rsid w:val="109478CD"/>
    <w:rsid w:val="10A56044"/>
    <w:rsid w:val="10A8E39F"/>
    <w:rsid w:val="10ACA943"/>
    <w:rsid w:val="10D9296E"/>
    <w:rsid w:val="10EB2968"/>
    <w:rsid w:val="10F857F1"/>
    <w:rsid w:val="11012533"/>
    <w:rsid w:val="110AEC4D"/>
    <w:rsid w:val="1116580E"/>
    <w:rsid w:val="1127CF69"/>
    <w:rsid w:val="1152E5B4"/>
    <w:rsid w:val="11637666"/>
    <w:rsid w:val="11A7717B"/>
    <w:rsid w:val="11A84E42"/>
    <w:rsid w:val="11FC5489"/>
    <w:rsid w:val="11FE47F2"/>
    <w:rsid w:val="12076DF7"/>
    <w:rsid w:val="121452B0"/>
    <w:rsid w:val="12153E24"/>
    <w:rsid w:val="1233AA60"/>
    <w:rsid w:val="1239CBFE"/>
    <w:rsid w:val="12463337"/>
    <w:rsid w:val="125E6E40"/>
    <w:rsid w:val="12637315"/>
    <w:rsid w:val="12738E7F"/>
    <w:rsid w:val="128B1CDE"/>
    <w:rsid w:val="12B70267"/>
    <w:rsid w:val="12C0BC27"/>
    <w:rsid w:val="12D46A5A"/>
    <w:rsid w:val="12DA1941"/>
    <w:rsid w:val="12E1012F"/>
    <w:rsid w:val="12F21474"/>
    <w:rsid w:val="13211435"/>
    <w:rsid w:val="1327616B"/>
    <w:rsid w:val="1333F7D5"/>
    <w:rsid w:val="134CF5B1"/>
    <w:rsid w:val="1360CF3C"/>
    <w:rsid w:val="136EBE2F"/>
    <w:rsid w:val="13AB7AF1"/>
    <w:rsid w:val="13B8A714"/>
    <w:rsid w:val="13D8CEA4"/>
    <w:rsid w:val="1433BF96"/>
    <w:rsid w:val="14360CFD"/>
    <w:rsid w:val="14481F96"/>
    <w:rsid w:val="144F964D"/>
    <w:rsid w:val="145E16F7"/>
    <w:rsid w:val="146A8D4B"/>
    <w:rsid w:val="1497A8C7"/>
    <w:rsid w:val="15061A46"/>
    <w:rsid w:val="150A3D08"/>
    <w:rsid w:val="15177380"/>
    <w:rsid w:val="1517ACE2"/>
    <w:rsid w:val="1525E1FC"/>
    <w:rsid w:val="1526CF47"/>
    <w:rsid w:val="1537218C"/>
    <w:rsid w:val="153A4E99"/>
    <w:rsid w:val="155D1943"/>
    <w:rsid w:val="1560438F"/>
    <w:rsid w:val="159DDB81"/>
    <w:rsid w:val="15EB45AC"/>
    <w:rsid w:val="15EEF419"/>
    <w:rsid w:val="15F47BCB"/>
    <w:rsid w:val="15FC530D"/>
    <w:rsid w:val="16067BA6"/>
    <w:rsid w:val="161155D5"/>
    <w:rsid w:val="16189828"/>
    <w:rsid w:val="1621E93E"/>
    <w:rsid w:val="16348718"/>
    <w:rsid w:val="16453618"/>
    <w:rsid w:val="168462C0"/>
    <w:rsid w:val="1693506E"/>
    <w:rsid w:val="169CF3A5"/>
    <w:rsid w:val="16B2A295"/>
    <w:rsid w:val="16CD2835"/>
    <w:rsid w:val="16FE5B7F"/>
    <w:rsid w:val="16FFBD40"/>
    <w:rsid w:val="17045B2C"/>
    <w:rsid w:val="171BEAC7"/>
    <w:rsid w:val="172F56FE"/>
    <w:rsid w:val="17394E42"/>
    <w:rsid w:val="1764504E"/>
    <w:rsid w:val="17886332"/>
    <w:rsid w:val="179175FA"/>
    <w:rsid w:val="17A7C64E"/>
    <w:rsid w:val="17BF9DD0"/>
    <w:rsid w:val="17CC115C"/>
    <w:rsid w:val="17DB1B72"/>
    <w:rsid w:val="17E7DC26"/>
    <w:rsid w:val="17FB55E0"/>
    <w:rsid w:val="180A3E25"/>
    <w:rsid w:val="180B7DE9"/>
    <w:rsid w:val="182ACE58"/>
    <w:rsid w:val="18318E51"/>
    <w:rsid w:val="1837F882"/>
    <w:rsid w:val="1844FC9D"/>
    <w:rsid w:val="18471FB0"/>
    <w:rsid w:val="184EDC40"/>
    <w:rsid w:val="1887FEE8"/>
    <w:rsid w:val="18B71D7B"/>
    <w:rsid w:val="18BD766F"/>
    <w:rsid w:val="18C45001"/>
    <w:rsid w:val="18C4A5B0"/>
    <w:rsid w:val="18D650A1"/>
    <w:rsid w:val="18E20FF2"/>
    <w:rsid w:val="18ED0A0B"/>
    <w:rsid w:val="1908AF8A"/>
    <w:rsid w:val="1927945A"/>
    <w:rsid w:val="1930D319"/>
    <w:rsid w:val="1967B61C"/>
    <w:rsid w:val="19817B47"/>
    <w:rsid w:val="198ACFE6"/>
    <w:rsid w:val="19A61FF8"/>
    <w:rsid w:val="19B1837E"/>
    <w:rsid w:val="19EBAC07"/>
    <w:rsid w:val="1A0C6A54"/>
    <w:rsid w:val="1A1298E1"/>
    <w:rsid w:val="1A20FD04"/>
    <w:rsid w:val="1A289AC2"/>
    <w:rsid w:val="1A2D456D"/>
    <w:rsid w:val="1A495B3F"/>
    <w:rsid w:val="1A53A4C6"/>
    <w:rsid w:val="1A6080DB"/>
    <w:rsid w:val="1A627E54"/>
    <w:rsid w:val="1A96DF19"/>
    <w:rsid w:val="1A9A2913"/>
    <w:rsid w:val="1A9F81F8"/>
    <w:rsid w:val="1AB5A347"/>
    <w:rsid w:val="1AC1B386"/>
    <w:rsid w:val="1AC3D3B3"/>
    <w:rsid w:val="1ACCE90C"/>
    <w:rsid w:val="1ACDFFD5"/>
    <w:rsid w:val="1ADE547E"/>
    <w:rsid w:val="1AF27D65"/>
    <w:rsid w:val="1AFED2F3"/>
    <w:rsid w:val="1B05EEE3"/>
    <w:rsid w:val="1B2B2C80"/>
    <w:rsid w:val="1B471576"/>
    <w:rsid w:val="1B49CA94"/>
    <w:rsid w:val="1B505F62"/>
    <w:rsid w:val="1B6335AD"/>
    <w:rsid w:val="1B7064C8"/>
    <w:rsid w:val="1B75DA56"/>
    <w:rsid w:val="1B7A1143"/>
    <w:rsid w:val="1B89AE85"/>
    <w:rsid w:val="1B9AE4FC"/>
    <w:rsid w:val="1BC05A9A"/>
    <w:rsid w:val="1BC8A4F7"/>
    <w:rsid w:val="1BEF3A5A"/>
    <w:rsid w:val="1C324F0B"/>
    <w:rsid w:val="1C34EE64"/>
    <w:rsid w:val="1C46BB7E"/>
    <w:rsid w:val="1C484C87"/>
    <w:rsid w:val="1C493251"/>
    <w:rsid w:val="1C63BD4F"/>
    <w:rsid w:val="1C66DF58"/>
    <w:rsid w:val="1C6961F5"/>
    <w:rsid w:val="1CAFEFA8"/>
    <w:rsid w:val="1CC11A46"/>
    <w:rsid w:val="1CC4F81D"/>
    <w:rsid w:val="1CCFFFC2"/>
    <w:rsid w:val="1CF22410"/>
    <w:rsid w:val="1CF79E7E"/>
    <w:rsid w:val="1D004FB9"/>
    <w:rsid w:val="1D103122"/>
    <w:rsid w:val="1D186DC0"/>
    <w:rsid w:val="1D211049"/>
    <w:rsid w:val="1D3DFCEE"/>
    <w:rsid w:val="1D44523F"/>
    <w:rsid w:val="1D6290F5"/>
    <w:rsid w:val="1D6AF190"/>
    <w:rsid w:val="1D88772F"/>
    <w:rsid w:val="1DD0EC8B"/>
    <w:rsid w:val="1DD38708"/>
    <w:rsid w:val="1DFD9F84"/>
    <w:rsid w:val="1E1EDA0F"/>
    <w:rsid w:val="1E23D796"/>
    <w:rsid w:val="1E27EEE8"/>
    <w:rsid w:val="1E695069"/>
    <w:rsid w:val="1E72144D"/>
    <w:rsid w:val="1E750533"/>
    <w:rsid w:val="1E7C53F8"/>
    <w:rsid w:val="1E861969"/>
    <w:rsid w:val="1E97081C"/>
    <w:rsid w:val="1E9C5A43"/>
    <w:rsid w:val="1EA3BD95"/>
    <w:rsid w:val="1EAD1B33"/>
    <w:rsid w:val="1EB702DA"/>
    <w:rsid w:val="1EB7A01D"/>
    <w:rsid w:val="1EB9765C"/>
    <w:rsid w:val="1EC6AC4E"/>
    <w:rsid w:val="1EF1B043"/>
    <w:rsid w:val="1F4C67B5"/>
    <w:rsid w:val="1F68095E"/>
    <w:rsid w:val="1F716116"/>
    <w:rsid w:val="1F8BD35E"/>
    <w:rsid w:val="1FA59627"/>
    <w:rsid w:val="1FAA96EC"/>
    <w:rsid w:val="1FBD7B42"/>
    <w:rsid w:val="1FC3907B"/>
    <w:rsid w:val="1FE5FCD3"/>
    <w:rsid w:val="1FF34AEC"/>
    <w:rsid w:val="200EDCD8"/>
    <w:rsid w:val="20165692"/>
    <w:rsid w:val="2019EAC1"/>
    <w:rsid w:val="201F76B4"/>
    <w:rsid w:val="203FA56D"/>
    <w:rsid w:val="20500E82"/>
    <w:rsid w:val="205B7AB0"/>
    <w:rsid w:val="20928C35"/>
    <w:rsid w:val="20946795"/>
    <w:rsid w:val="209666C0"/>
    <w:rsid w:val="20972035"/>
    <w:rsid w:val="20A545EB"/>
    <w:rsid w:val="20ABAF58"/>
    <w:rsid w:val="20BD0DDB"/>
    <w:rsid w:val="20ED8647"/>
    <w:rsid w:val="211F07F9"/>
    <w:rsid w:val="212FDDAC"/>
    <w:rsid w:val="2134394E"/>
    <w:rsid w:val="213DAC9E"/>
    <w:rsid w:val="21455E40"/>
    <w:rsid w:val="2183CD47"/>
    <w:rsid w:val="219E4594"/>
    <w:rsid w:val="21AFE2AF"/>
    <w:rsid w:val="21C3BC63"/>
    <w:rsid w:val="2214B0F6"/>
    <w:rsid w:val="22263D36"/>
    <w:rsid w:val="2228ABB2"/>
    <w:rsid w:val="223B4CAA"/>
    <w:rsid w:val="2243F5A5"/>
    <w:rsid w:val="2246996C"/>
    <w:rsid w:val="22512B4B"/>
    <w:rsid w:val="22801A80"/>
    <w:rsid w:val="228F88E7"/>
    <w:rsid w:val="22BFD5D0"/>
    <w:rsid w:val="22ED93D6"/>
    <w:rsid w:val="2328389C"/>
    <w:rsid w:val="23345682"/>
    <w:rsid w:val="23466467"/>
    <w:rsid w:val="235545E2"/>
    <w:rsid w:val="238354B0"/>
    <w:rsid w:val="2387AF44"/>
    <w:rsid w:val="239E56D0"/>
    <w:rsid w:val="23A59346"/>
    <w:rsid w:val="23B6C3CE"/>
    <w:rsid w:val="23C92759"/>
    <w:rsid w:val="23D3B6DC"/>
    <w:rsid w:val="23EC2120"/>
    <w:rsid w:val="23F82B17"/>
    <w:rsid w:val="241E0D83"/>
    <w:rsid w:val="2440BC8F"/>
    <w:rsid w:val="245AA2F5"/>
    <w:rsid w:val="24797DF4"/>
    <w:rsid w:val="248BD8FC"/>
    <w:rsid w:val="249CD31F"/>
    <w:rsid w:val="24E317C7"/>
    <w:rsid w:val="24E5DE95"/>
    <w:rsid w:val="24E7563A"/>
    <w:rsid w:val="24EADF2F"/>
    <w:rsid w:val="24F5A62B"/>
    <w:rsid w:val="25018890"/>
    <w:rsid w:val="2513041F"/>
    <w:rsid w:val="252A6AA8"/>
    <w:rsid w:val="252E4780"/>
    <w:rsid w:val="2531B95C"/>
    <w:rsid w:val="25397A70"/>
    <w:rsid w:val="25585C32"/>
    <w:rsid w:val="25733D7A"/>
    <w:rsid w:val="25935D40"/>
    <w:rsid w:val="25990E8E"/>
    <w:rsid w:val="259B9070"/>
    <w:rsid w:val="25D29CE5"/>
    <w:rsid w:val="25F869D5"/>
    <w:rsid w:val="2608B169"/>
    <w:rsid w:val="261BDB2F"/>
    <w:rsid w:val="262572BB"/>
    <w:rsid w:val="2649CD6C"/>
    <w:rsid w:val="264A5F3C"/>
    <w:rsid w:val="265825A2"/>
    <w:rsid w:val="266DA7B3"/>
    <w:rsid w:val="26777F32"/>
    <w:rsid w:val="268DA5C4"/>
    <w:rsid w:val="26B6814E"/>
    <w:rsid w:val="26C47041"/>
    <w:rsid w:val="26E53A2B"/>
    <w:rsid w:val="270DA221"/>
    <w:rsid w:val="27227547"/>
    <w:rsid w:val="272BAF68"/>
    <w:rsid w:val="2733374C"/>
    <w:rsid w:val="2760306E"/>
    <w:rsid w:val="2774CFDC"/>
    <w:rsid w:val="27975670"/>
    <w:rsid w:val="279D452C"/>
    <w:rsid w:val="27CED575"/>
    <w:rsid w:val="27E2E43C"/>
    <w:rsid w:val="27E9EFDB"/>
    <w:rsid w:val="280C8665"/>
    <w:rsid w:val="2821F21E"/>
    <w:rsid w:val="2825CEF3"/>
    <w:rsid w:val="283AFA22"/>
    <w:rsid w:val="283FF888"/>
    <w:rsid w:val="284B298C"/>
    <w:rsid w:val="286877FE"/>
    <w:rsid w:val="2876F3C4"/>
    <w:rsid w:val="287C277A"/>
    <w:rsid w:val="287DDE16"/>
    <w:rsid w:val="288B4ECD"/>
    <w:rsid w:val="28900601"/>
    <w:rsid w:val="2897DCB2"/>
    <w:rsid w:val="28A664C1"/>
    <w:rsid w:val="28D3C18A"/>
    <w:rsid w:val="28EA9787"/>
    <w:rsid w:val="2900BCA1"/>
    <w:rsid w:val="290223CC"/>
    <w:rsid w:val="29300A97"/>
    <w:rsid w:val="29379FA2"/>
    <w:rsid w:val="295B1E4F"/>
    <w:rsid w:val="29673297"/>
    <w:rsid w:val="296D69AF"/>
    <w:rsid w:val="29703286"/>
    <w:rsid w:val="299031A6"/>
    <w:rsid w:val="29C77652"/>
    <w:rsid w:val="29E8A61B"/>
    <w:rsid w:val="29F3F478"/>
    <w:rsid w:val="29F5526D"/>
    <w:rsid w:val="2A0071C5"/>
    <w:rsid w:val="2A1F1CF1"/>
    <w:rsid w:val="2A23E386"/>
    <w:rsid w:val="2A26186E"/>
    <w:rsid w:val="2A3DDCD8"/>
    <w:rsid w:val="2A504FE1"/>
    <w:rsid w:val="2A539BBF"/>
    <w:rsid w:val="2A5AB2B8"/>
    <w:rsid w:val="2A5F4C8D"/>
    <w:rsid w:val="2A7063C1"/>
    <w:rsid w:val="2A89E96E"/>
    <w:rsid w:val="2AC20CB7"/>
    <w:rsid w:val="2ACDBD5C"/>
    <w:rsid w:val="2B048A69"/>
    <w:rsid w:val="2B09C694"/>
    <w:rsid w:val="2B0B8169"/>
    <w:rsid w:val="2B145084"/>
    <w:rsid w:val="2B161B9D"/>
    <w:rsid w:val="2B462FB3"/>
    <w:rsid w:val="2B73BA0E"/>
    <w:rsid w:val="2B7CDE86"/>
    <w:rsid w:val="2B9122CE"/>
    <w:rsid w:val="2BBBBD33"/>
    <w:rsid w:val="2BBC1886"/>
    <w:rsid w:val="2BC1D45E"/>
    <w:rsid w:val="2BCF28F5"/>
    <w:rsid w:val="2BD31F28"/>
    <w:rsid w:val="2BD689DB"/>
    <w:rsid w:val="2BE4920D"/>
    <w:rsid w:val="2BFB4EB1"/>
    <w:rsid w:val="2C02CE72"/>
    <w:rsid w:val="2C2A7E46"/>
    <w:rsid w:val="2C48F576"/>
    <w:rsid w:val="2C5E5EEE"/>
    <w:rsid w:val="2C6A81DA"/>
    <w:rsid w:val="2C6AC793"/>
    <w:rsid w:val="2C6CEECE"/>
    <w:rsid w:val="2C8B8E2C"/>
    <w:rsid w:val="2C8D7AE6"/>
    <w:rsid w:val="2CA5FF09"/>
    <w:rsid w:val="2CBED01F"/>
    <w:rsid w:val="2CC6FF58"/>
    <w:rsid w:val="2CD611C4"/>
    <w:rsid w:val="2CEB9A32"/>
    <w:rsid w:val="2D04B9D2"/>
    <w:rsid w:val="2D0F3DB0"/>
    <w:rsid w:val="2D2A2E20"/>
    <w:rsid w:val="2D566AEE"/>
    <w:rsid w:val="2D73519E"/>
    <w:rsid w:val="2D8E1230"/>
    <w:rsid w:val="2D90153E"/>
    <w:rsid w:val="2DA93D9B"/>
    <w:rsid w:val="2DCAE903"/>
    <w:rsid w:val="2DE09E11"/>
    <w:rsid w:val="2E06C21E"/>
    <w:rsid w:val="2E1C0983"/>
    <w:rsid w:val="2E2567FB"/>
    <w:rsid w:val="2E275E8D"/>
    <w:rsid w:val="2E345339"/>
    <w:rsid w:val="2E4C5BF2"/>
    <w:rsid w:val="2E918003"/>
    <w:rsid w:val="2E9F3F1C"/>
    <w:rsid w:val="2EA0FBFB"/>
    <w:rsid w:val="2EAE3D9D"/>
    <w:rsid w:val="2EB8E97F"/>
    <w:rsid w:val="2EB920B0"/>
    <w:rsid w:val="2EBA158B"/>
    <w:rsid w:val="2EC3A7BB"/>
    <w:rsid w:val="2EC3A7BB"/>
    <w:rsid w:val="2ED2F243"/>
    <w:rsid w:val="2ED6CCF8"/>
    <w:rsid w:val="2F08EB7D"/>
    <w:rsid w:val="2F0B42C9"/>
    <w:rsid w:val="2F2A7949"/>
    <w:rsid w:val="2F37F4B8"/>
    <w:rsid w:val="2F3FC82F"/>
    <w:rsid w:val="2F4E5DAE"/>
    <w:rsid w:val="2F612C0B"/>
    <w:rsid w:val="2F6D00EF"/>
    <w:rsid w:val="2F89FA4E"/>
    <w:rsid w:val="2F8D8710"/>
    <w:rsid w:val="2F8DDE73"/>
    <w:rsid w:val="2FA9E653"/>
    <w:rsid w:val="2FAE5D55"/>
    <w:rsid w:val="2FBC5FF1"/>
    <w:rsid w:val="2FC0BDE5"/>
    <w:rsid w:val="301A12B7"/>
    <w:rsid w:val="301F5124"/>
    <w:rsid w:val="302D859B"/>
    <w:rsid w:val="3032F0D8"/>
    <w:rsid w:val="307B6985"/>
    <w:rsid w:val="307F2B2C"/>
    <w:rsid w:val="30930F0E"/>
    <w:rsid w:val="30A470F9"/>
    <w:rsid w:val="30A631E1"/>
    <w:rsid w:val="30BEBAA7"/>
    <w:rsid w:val="30CFBDB5"/>
    <w:rsid w:val="30FD45B9"/>
    <w:rsid w:val="3107AB23"/>
    <w:rsid w:val="31148DF2"/>
    <w:rsid w:val="313D1949"/>
    <w:rsid w:val="314D80C3"/>
    <w:rsid w:val="316E85AC"/>
    <w:rsid w:val="31AB14DD"/>
    <w:rsid w:val="31E9F268"/>
    <w:rsid w:val="31FA97AC"/>
    <w:rsid w:val="3227ECD2"/>
    <w:rsid w:val="322D9905"/>
    <w:rsid w:val="324D4E1D"/>
    <w:rsid w:val="324D51C1"/>
    <w:rsid w:val="32556EC1"/>
    <w:rsid w:val="325EA269"/>
    <w:rsid w:val="32907A47"/>
    <w:rsid w:val="32945984"/>
    <w:rsid w:val="32A115AC"/>
    <w:rsid w:val="32AC219D"/>
    <w:rsid w:val="32D056A5"/>
    <w:rsid w:val="32DF4342"/>
    <w:rsid w:val="32F37D7D"/>
    <w:rsid w:val="32F83467"/>
    <w:rsid w:val="3309DF78"/>
    <w:rsid w:val="332D10E1"/>
    <w:rsid w:val="33396CB0"/>
    <w:rsid w:val="33450D3E"/>
    <w:rsid w:val="3356A2A7"/>
    <w:rsid w:val="3362C805"/>
    <w:rsid w:val="337B0821"/>
    <w:rsid w:val="337C4F14"/>
    <w:rsid w:val="3381F4AF"/>
    <w:rsid w:val="3384A0B6"/>
    <w:rsid w:val="33970159"/>
    <w:rsid w:val="33A3EF68"/>
    <w:rsid w:val="33CE1E4C"/>
    <w:rsid w:val="3445BF61"/>
    <w:rsid w:val="3458B47C"/>
    <w:rsid w:val="349196B4"/>
    <w:rsid w:val="34942303"/>
    <w:rsid w:val="349E31C1"/>
    <w:rsid w:val="34AE9C02"/>
    <w:rsid w:val="34B2FC6A"/>
    <w:rsid w:val="34BE8F10"/>
    <w:rsid w:val="34C4FC43"/>
    <w:rsid w:val="34DBDF01"/>
    <w:rsid w:val="34E08628"/>
    <w:rsid w:val="34E15914"/>
    <w:rsid w:val="34F61073"/>
    <w:rsid w:val="34FA1EFA"/>
    <w:rsid w:val="3539EC43"/>
    <w:rsid w:val="354D569E"/>
    <w:rsid w:val="355E2F33"/>
    <w:rsid w:val="3564D520"/>
    <w:rsid w:val="35723547"/>
    <w:rsid w:val="3577DC97"/>
    <w:rsid w:val="357D1CB8"/>
    <w:rsid w:val="358AEFE0"/>
    <w:rsid w:val="35A7134D"/>
    <w:rsid w:val="35BC2DF3"/>
    <w:rsid w:val="35C0CA53"/>
    <w:rsid w:val="35C71AD9"/>
    <w:rsid w:val="35C768B3"/>
    <w:rsid w:val="35CC6D31"/>
    <w:rsid w:val="35D57B70"/>
    <w:rsid w:val="35DC2464"/>
    <w:rsid w:val="35DEB469"/>
    <w:rsid w:val="36116FE7"/>
    <w:rsid w:val="3611DCAA"/>
    <w:rsid w:val="361E4BD6"/>
    <w:rsid w:val="362D6662"/>
    <w:rsid w:val="36475C73"/>
    <w:rsid w:val="3660BD8B"/>
    <w:rsid w:val="3664B1A3"/>
    <w:rsid w:val="367CCC46"/>
    <w:rsid w:val="368B05B4"/>
    <w:rsid w:val="369047B5"/>
    <w:rsid w:val="36C09445"/>
    <w:rsid w:val="36CF1072"/>
    <w:rsid w:val="36E3377C"/>
    <w:rsid w:val="3707F634"/>
    <w:rsid w:val="37086BC8"/>
    <w:rsid w:val="371270F6"/>
    <w:rsid w:val="371838B3"/>
    <w:rsid w:val="371D2D06"/>
    <w:rsid w:val="373CEBD1"/>
    <w:rsid w:val="373D235D"/>
    <w:rsid w:val="374423E7"/>
    <w:rsid w:val="37563B6F"/>
    <w:rsid w:val="377988FF"/>
    <w:rsid w:val="3797851D"/>
    <w:rsid w:val="37A8B07A"/>
    <w:rsid w:val="37BB9286"/>
    <w:rsid w:val="37BEBC28"/>
    <w:rsid w:val="37F398F9"/>
    <w:rsid w:val="38008204"/>
    <w:rsid w:val="3806C20C"/>
    <w:rsid w:val="38247C53"/>
    <w:rsid w:val="3830BFDA"/>
    <w:rsid w:val="3860652B"/>
    <w:rsid w:val="38619729"/>
    <w:rsid w:val="386DA252"/>
    <w:rsid w:val="3876FBE4"/>
    <w:rsid w:val="387F32E4"/>
    <w:rsid w:val="3899433A"/>
    <w:rsid w:val="38C7291F"/>
    <w:rsid w:val="38DA5B16"/>
    <w:rsid w:val="38FEF089"/>
    <w:rsid w:val="39134125"/>
    <w:rsid w:val="391F891A"/>
    <w:rsid w:val="394A9513"/>
    <w:rsid w:val="39527C21"/>
    <w:rsid w:val="3955881C"/>
    <w:rsid w:val="39BF25E7"/>
    <w:rsid w:val="39C1AC2D"/>
    <w:rsid w:val="39CDD9B6"/>
    <w:rsid w:val="3A13C712"/>
    <w:rsid w:val="3A47E153"/>
    <w:rsid w:val="3A4AB00A"/>
    <w:rsid w:val="3A5F4F78"/>
    <w:rsid w:val="3A62832C"/>
    <w:rsid w:val="3A8A357B"/>
    <w:rsid w:val="3A8F5F22"/>
    <w:rsid w:val="3A9618EA"/>
    <w:rsid w:val="3A9D1992"/>
    <w:rsid w:val="3AC6C6AD"/>
    <w:rsid w:val="3AD2785C"/>
    <w:rsid w:val="3AF58E63"/>
    <w:rsid w:val="3AFC1CEE"/>
    <w:rsid w:val="3B0D20AC"/>
    <w:rsid w:val="3B13396C"/>
    <w:rsid w:val="3B157371"/>
    <w:rsid w:val="3B248787"/>
    <w:rsid w:val="3B3584F8"/>
    <w:rsid w:val="3B5210F1"/>
    <w:rsid w:val="3B5FD5F0"/>
    <w:rsid w:val="3B68609C"/>
    <w:rsid w:val="3B940568"/>
    <w:rsid w:val="3BA42836"/>
    <w:rsid w:val="3BB41714"/>
    <w:rsid w:val="3BBA8D63"/>
    <w:rsid w:val="3BD430FC"/>
    <w:rsid w:val="3C215EC5"/>
    <w:rsid w:val="3C387F61"/>
    <w:rsid w:val="3C42B305"/>
    <w:rsid w:val="3C69F5C8"/>
    <w:rsid w:val="3CCE0904"/>
    <w:rsid w:val="3CEA207D"/>
    <w:rsid w:val="3CF161F2"/>
    <w:rsid w:val="3D0A5375"/>
    <w:rsid w:val="3D4BDA53"/>
    <w:rsid w:val="3D577676"/>
    <w:rsid w:val="3D719216"/>
    <w:rsid w:val="3D71B3F3"/>
    <w:rsid w:val="3DA1C5ED"/>
    <w:rsid w:val="3DD482E7"/>
    <w:rsid w:val="3DDC3628"/>
    <w:rsid w:val="3DDD3A67"/>
    <w:rsid w:val="3DE50340"/>
    <w:rsid w:val="3DE7FD39"/>
    <w:rsid w:val="3DEC54ED"/>
    <w:rsid w:val="3DF4B663"/>
    <w:rsid w:val="3DF6F3F4"/>
    <w:rsid w:val="3E062412"/>
    <w:rsid w:val="3E0EEA94"/>
    <w:rsid w:val="3E13F285"/>
    <w:rsid w:val="3E2FA0BD"/>
    <w:rsid w:val="3E31BE17"/>
    <w:rsid w:val="3E367545"/>
    <w:rsid w:val="3E39D3A4"/>
    <w:rsid w:val="3E3B894D"/>
    <w:rsid w:val="3E6E273C"/>
    <w:rsid w:val="3E7B6ADD"/>
    <w:rsid w:val="3E9B8BDD"/>
    <w:rsid w:val="3EDB1087"/>
    <w:rsid w:val="3EDDCF69"/>
    <w:rsid w:val="3EF115E3"/>
    <w:rsid w:val="3EF53705"/>
    <w:rsid w:val="3F0884BE"/>
    <w:rsid w:val="3F0CF485"/>
    <w:rsid w:val="3F19E448"/>
    <w:rsid w:val="3F251B68"/>
    <w:rsid w:val="3F466CB6"/>
    <w:rsid w:val="3F667057"/>
    <w:rsid w:val="3F9C882D"/>
    <w:rsid w:val="3FA1503E"/>
    <w:rsid w:val="3FBCDED4"/>
    <w:rsid w:val="3FCD8E78"/>
    <w:rsid w:val="3FEFEE27"/>
    <w:rsid w:val="401278C9"/>
    <w:rsid w:val="401298D5"/>
    <w:rsid w:val="403B87A3"/>
    <w:rsid w:val="404E2FC6"/>
    <w:rsid w:val="4053238E"/>
    <w:rsid w:val="406E5EE7"/>
    <w:rsid w:val="40817BA7"/>
    <w:rsid w:val="40837B15"/>
    <w:rsid w:val="408EB8DC"/>
    <w:rsid w:val="40958EF7"/>
    <w:rsid w:val="4099C1FD"/>
    <w:rsid w:val="40AF38E8"/>
    <w:rsid w:val="40BF9E61"/>
    <w:rsid w:val="40CB29D1"/>
    <w:rsid w:val="40CCA1D2"/>
    <w:rsid w:val="40D4A36B"/>
    <w:rsid w:val="410B0A3F"/>
    <w:rsid w:val="412FE4C3"/>
    <w:rsid w:val="41390EC0"/>
    <w:rsid w:val="413A3FBD"/>
    <w:rsid w:val="41445099"/>
    <w:rsid w:val="414969B7"/>
    <w:rsid w:val="414A861B"/>
    <w:rsid w:val="41504D03"/>
    <w:rsid w:val="4152A59B"/>
    <w:rsid w:val="4166D8E3"/>
    <w:rsid w:val="4167513A"/>
    <w:rsid w:val="416C7D2E"/>
    <w:rsid w:val="41792841"/>
    <w:rsid w:val="417BF8CD"/>
    <w:rsid w:val="4186A94B"/>
    <w:rsid w:val="418FE738"/>
    <w:rsid w:val="419E3112"/>
    <w:rsid w:val="41B3B1E4"/>
    <w:rsid w:val="41CD530F"/>
    <w:rsid w:val="41D0FF10"/>
    <w:rsid w:val="4202742C"/>
    <w:rsid w:val="4219CBED"/>
    <w:rsid w:val="423B66FE"/>
    <w:rsid w:val="423DCB4D"/>
    <w:rsid w:val="42486F65"/>
    <w:rsid w:val="428F59EC"/>
    <w:rsid w:val="4296F5D8"/>
    <w:rsid w:val="42A7B2E0"/>
    <w:rsid w:val="42BD074E"/>
    <w:rsid w:val="42E36CF2"/>
    <w:rsid w:val="42EB85EC"/>
    <w:rsid w:val="42EE75FC"/>
    <w:rsid w:val="42FC3C62"/>
    <w:rsid w:val="430AFAD5"/>
    <w:rsid w:val="4322B320"/>
    <w:rsid w:val="4334A49E"/>
    <w:rsid w:val="4341C2D0"/>
    <w:rsid w:val="4346B62B"/>
    <w:rsid w:val="437A9981"/>
    <w:rsid w:val="4383671D"/>
    <w:rsid w:val="439E0979"/>
    <w:rsid w:val="43C28404"/>
    <w:rsid w:val="43D1D2E3"/>
    <w:rsid w:val="43DEF7A9"/>
    <w:rsid w:val="44294240"/>
    <w:rsid w:val="444FB6D9"/>
    <w:rsid w:val="449FC002"/>
    <w:rsid w:val="449FEAD1"/>
    <w:rsid w:val="44B6547C"/>
    <w:rsid w:val="44C065BF"/>
    <w:rsid w:val="44CDF4A4"/>
    <w:rsid w:val="44E0D081"/>
    <w:rsid w:val="44E44498"/>
    <w:rsid w:val="44E53EA8"/>
    <w:rsid w:val="44F71A67"/>
    <w:rsid w:val="450205F6"/>
    <w:rsid w:val="450835D0"/>
    <w:rsid w:val="450886FF"/>
    <w:rsid w:val="454FDB09"/>
    <w:rsid w:val="455339D5"/>
    <w:rsid w:val="4588A233"/>
    <w:rsid w:val="458F7006"/>
    <w:rsid w:val="459D75A3"/>
    <w:rsid w:val="45AFBB0E"/>
    <w:rsid w:val="45C17F10"/>
    <w:rsid w:val="45C59FE3"/>
    <w:rsid w:val="45C607F7"/>
    <w:rsid w:val="45CD9980"/>
    <w:rsid w:val="45D1EE1F"/>
    <w:rsid w:val="45F40C38"/>
    <w:rsid w:val="45F888CE"/>
    <w:rsid w:val="45FD0072"/>
    <w:rsid w:val="460CCEF3"/>
    <w:rsid w:val="4628C374"/>
    <w:rsid w:val="4646E46C"/>
    <w:rsid w:val="466025A9"/>
    <w:rsid w:val="46692CCF"/>
    <w:rsid w:val="466B78AD"/>
    <w:rsid w:val="466C4560"/>
    <w:rsid w:val="469E7F63"/>
    <w:rsid w:val="46BA754D"/>
    <w:rsid w:val="46BD93E6"/>
    <w:rsid w:val="46BFAE9B"/>
    <w:rsid w:val="46D8591F"/>
    <w:rsid w:val="46E8F0AC"/>
    <w:rsid w:val="46F3B0EB"/>
    <w:rsid w:val="470148CC"/>
    <w:rsid w:val="470B2F7A"/>
    <w:rsid w:val="470F3D07"/>
    <w:rsid w:val="474989AF"/>
    <w:rsid w:val="477486D7"/>
    <w:rsid w:val="477920B0"/>
    <w:rsid w:val="479BCA2E"/>
    <w:rsid w:val="47A43B1B"/>
    <w:rsid w:val="47B0F27F"/>
    <w:rsid w:val="47C265C6"/>
    <w:rsid w:val="47C50BBB"/>
    <w:rsid w:val="47D6CBC6"/>
    <w:rsid w:val="47EA4966"/>
    <w:rsid w:val="47F3E3D3"/>
    <w:rsid w:val="48253820"/>
    <w:rsid w:val="483C510B"/>
    <w:rsid w:val="483F7670"/>
    <w:rsid w:val="484E0AA4"/>
    <w:rsid w:val="485116C4"/>
    <w:rsid w:val="4865452F"/>
    <w:rsid w:val="48B9F632"/>
    <w:rsid w:val="48C048AE"/>
    <w:rsid w:val="48CABA9E"/>
    <w:rsid w:val="48E906C9"/>
    <w:rsid w:val="48ED73A6"/>
    <w:rsid w:val="48F78B99"/>
    <w:rsid w:val="48FF1E90"/>
    <w:rsid w:val="4966DDDD"/>
    <w:rsid w:val="49859596"/>
    <w:rsid w:val="49BAE0B6"/>
    <w:rsid w:val="49C9E209"/>
    <w:rsid w:val="4A011590"/>
    <w:rsid w:val="4A0C7401"/>
    <w:rsid w:val="4A26968F"/>
    <w:rsid w:val="4A3AB225"/>
    <w:rsid w:val="4A4AAD55"/>
    <w:rsid w:val="4A701C03"/>
    <w:rsid w:val="4A85CF2F"/>
    <w:rsid w:val="4AAE54FE"/>
    <w:rsid w:val="4AAFE30E"/>
    <w:rsid w:val="4AB213A4"/>
    <w:rsid w:val="4AC839A1"/>
    <w:rsid w:val="4ACF25E0"/>
    <w:rsid w:val="4AD07195"/>
    <w:rsid w:val="4AD0AE38"/>
    <w:rsid w:val="4AD0D007"/>
    <w:rsid w:val="4AD1FAF6"/>
    <w:rsid w:val="4ADA584F"/>
    <w:rsid w:val="4B02294A"/>
    <w:rsid w:val="4B11364E"/>
    <w:rsid w:val="4B1669F9"/>
    <w:rsid w:val="4B16CBD2"/>
    <w:rsid w:val="4B24DDD5"/>
    <w:rsid w:val="4B608161"/>
    <w:rsid w:val="4B657F5D"/>
    <w:rsid w:val="4B65A27D"/>
    <w:rsid w:val="4B7F0BBE"/>
    <w:rsid w:val="4B96D19A"/>
    <w:rsid w:val="4BA31EA5"/>
    <w:rsid w:val="4BACE95C"/>
    <w:rsid w:val="4BC04F81"/>
    <w:rsid w:val="4BD802D6"/>
    <w:rsid w:val="4C59B297"/>
    <w:rsid w:val="4C5C079A"/>
    <w:rsid w:val="4C67E372"/>
    <w:rsid w:val="4C6AB469"/>
    <w:rsid w:val="4C6D37AA"/>
    <w:rsid w:val="4CB54EA0"/>
    <w:rsid w:val="4CC754F6"/>
    <w:rsid w:val="4CC87CE2"/>
    <w:rsid w:val="4CD285F4"/>
    <w:rsid w:val="4CD47014"/>
    <w:rsid w:val="4CEB4261"/>
    <w:rsid w:val="4CF3E8C8"/>
    <w:rsid w:val="4CFB2707"/>
    <w:rsid w:val="4D01B695"/>
    <w:rsid w:val="4D12640F"/>
    <w:rsid w:val="4D30FCBF"/>
    <w:rsid w:val="4D40DD08"/>
    <w:rsid w:val="4D58B6AA"/>
    <w:rsid w:val="4D5F8CCC"/>
    <w:rsid w:val="4D6344F2"/>
    <w:rsid w:val="4D8867CD"/>
    <w:rsid w:val="4D8AF4F2"/>
    <w:rsid w:val="4D93D9F2"/>
    <w:rsid w:val="4DC0520A"/>
    <w:rsid w:val="4DC723E7"/>
    <w:rsid w:val="4DC7C64D"/>
    <w:rsid w:val="4DC80C66"/>
    <w:rsid w:val="4DF09428"/>
    <w:rsid w:val="4E146D57"/>
    <w:rsid w:val="4E610A0C"/>
    <w:rsid w:val="4E6BE7E8"/>
    <w:rsid w:val="4E7A50D5"/>
    <w:rsid w:val="4ECFC94A"/>
    <w:rsid w:val="4EDFF79F"/>
    <w:rsid w:val="4EE8106B"/>
    <w:rsid w:val="4EF921D7"/>
    <w:rsid w:val="4EFB6973"/>
    <w:rsid w:val="4F100F59"/>
    <w:rsid w:val="4F24382E"/>
    <w:rsid w:val="4F25CB01"/>
    <w:rsid w:val="4F265E0B"/>
    <w:rsid w:val="4F27984C"/>
    <w:rsid w:val="4F36F43A"/>
    <w:rsid w:val="4F3A12F9"/>
    <w:rsid w:val="4F5A9FD6"/>
    <w:rsid w:val="4F9DB565"/>
    <w:rsid w:val="4FA7ED12"/>
    <w:rsid w:val="4FD7CA71"/>
    <w:rsid w:val="4FDE83AC"/>
    <w:rsid w:val="50081B80"/>
    <w:rsid w:val="500E68F6"/>
    <w:rsid w:val="5046E957"/>
    <w:rsid w:val="504B649C"/>
    <w:rsid w:val="5056FC58"/>
    <w:rsid w:val="50690D62"/>
    <w:rsid w:val="5099F3EF"/>
    <w:rsid w:val="50A4838D"/>
    <w:rsid w:val="50A82B12"/>
    <w:rsid w:val="50D2B356"/>
    <w:rsid w:val="50F32D16"/>
    <w:rsid w:val="510C34DA"/>
    <w:rsid w:val="5140D76C"/>
    <w:rsid w:val="5146CF26"/>
    <w:rsid w:val="514FA108"/>
    <w:rsid w:val="5171CB9E"/>
    <w:rsid w:val="517FD598"/>
    <w:rsid w:val="51960F74"/>
    <w:rsid w:val="51B16E84"/>
    <w:rsid w:val="51D8ADBA"/>
    <w:rsid w:val="51DBC48D"/>
    <w:rsid w:val="521A9D86"/>
    <w:rsid w:val="5228BE53"/>
    <w:rsid w:val="5230C299"/>
    <w:rsid w:val="523C25F3"/>
    <w:rsid w:val="5249EC2C"/>
    <w:rsid w:val="5253615A"/>
    <w:rsid w:val="5258E01A"/>
    <w:rsid w:val="52636D57"/>
    <w:rsid w:val="5298C169"/>
    <w:rsid w:val="52ABB7E1"/>
    <w:rsid w:val="5301F90A"/>
    <w:rsid w:val="532F72E4"/>
    <w:rsid w:val="532FE8A3"/>
    <w:rsid w:val="53CBA0ED"/>
    <w:rsid w:val="53E69CD2"/>
    <w:rsid w:val="541102CB"/>
    <w:rsid w:val="54120B1D"/>
    <w:rsid w:val="543B2A5B"/>
    <w:rsid w:val="545585EF"/>
    <w:rsid w:val="546C7F31"/>
    <w:rsid w:val="54709B81"/>
    <w:rsid w:val="5473D53F"/>
    <w:rsid w:val="548ADE8B"/>
    <w:rsid w:val="549323BF"/>
    <w:rsid w:val="549F400A"/>
    <w:rsid w:val="54D334B8"/>
    <w:rsid w:val="54F4CDA3"/>
    <w:rsid w:val="54F8AA56"/>
    <w:rsid w:val="5533FA82"/>
    <w:rsid w:val="55365307"/>
    <w:rsid w:val="55450288"/>
    <w:rsid w:val="5559B52A"/>
    <w:rsid w:val="55625FE1"/>
    <w:rsid w:val="557BA636"/>
    <w:rsid w:val="55997A6C"/>
    <w:rsid w:val="55D3E894"/>
    <w:rsid w:val="55D6FABC"/>
    <w:rsid w:val="55D78699"/>
    <w:rsid w:val="55FBE988"/>
    <w:rsid w:val="55FCF986"/>
    <w:rsid w:val="56072842"/>
    <w:rsid w:val="56141524"/>
    <w:rsid w:val="561E18D1"/>
    <w:rsid w:val="56387D47"/>
    <w:rsid w:val="56417C4F"/>
    <w:rsid w:val="564B0021"/>
    <w:rsid w:val="565B5AB1"/>
    <w:rsid w:val="566475A5"/>
    <w:rsid w:val="5665ADCA"/>
    <w:rsid w:val="566884A2"/>
    <w:rsid w:val="567115EB"/>
    <w:rsid w:val="56B259D1"/>
    <w:rsid w:val="56D34F5B"/>
    <w:rsid w:val="56FBDFB4"/>
    <w:rsid w:val="56FC60FE"/>
    <w:rsid w:val="570502B9"/>
    <w:rsid w:val="57119E5B"/>
    <w:rsid w:val="572D4993"/>
    <w:rsid w:val="5730B02C"/>
    <w:rsid w:val="576BDFC4"/>
    <w:rsid w:val="5795933A"/>
    <w:rsid w:val="57B4DD5A"/>
    <w:rsid w:val="57B5A7A3"/>
    <w:rsid w:val="57BB2FB7"/>
    <w:rsid w:val="57CA84BA"/>
    <w:rsid w:val="57DDDAF9"/>
    <w:rsid w:val="57EF171C"/>
    <w:rsid w:val="580085AD"/>
    <w:rsid w:val="5803EA64"/>
    <w:rsid w:val="580A2DA5"/>
    <w:rsid w:val="5822B0DC"/>
    <w:rsid w:val="582607DB"/>
    <w:rsid w:val="58351CA5"/>
    <w:rsid w:val="583E4C89"/>
    <w:rsid w:val="5853D71E"/>
    <w:rsid w:val="5875BF81"/>
    <w:rsid w:val="587602EC"/>
    <w:rsid w:val="58871FA4"/>
    <w:rsid w:val="588A212C"/>
    <w:rsid w:val="5896CA4B"/>
    <w:rsid w:val="589746F8"/>
    <w:rsid w:val="58B02252"/>
    <w:rsid w:val="58C02295"/>
    <w:rsid w:val="58DE95EC"/>
    <w:rsid w:val="58E53DF2"/>
    <w:rsid w:val="58F2A76A"/>
    <w:rsid w:val="58FCB13A"/>
    <w:rsid w:val="5904F931"/>
    <w:rsid w:val="590EE273"/>
    <w:rsid w:val="59176AB1"/>
    <w:rsid w:val="595A5654"/>
    <w:rsid w:val="595C56AA"/>
    <w:rsid w:val="59688F6E"/>
    <w:rsid w:val="59EF3FC0"/>
    <w:rsid w:val="59EFB54A"/>
    <w:rsid w:val="5A14925F"/>
    <w:rsid w:val="5A16AC65"/>
    <w:rsid w:val="5A444751"/>
    <w:rsid w:val="5A46495F"/>
    <w:rsid w:val="5A54FE11"/>
    <w:rsid w:val="5A6B4673"/>
    <w:rsid w:val="5AA18404"/>
    <w:rsid w:val="5AA3C73B"/>
    <w:rsid w:val="5ABF1B51"/>
    <w:rsid w:val="5AC17108"/>
    <w:rsid w:val="5ADFB2E3"/>
    <w:rsid w:val="5AEE73D2"/>
    <w:rsid w:val="5AF1F3BA"/>
    <w:rsid w:val="5AF2ED0D"/>
    <w:rsid w:val="5AF3557B"/>
    <w:rsid w:val="5AF3B682"/>
    <w:rsid w:val="5B0AA89B"/>
    <w:rsid w:val="5B152A12"/>
    <w:rsid w:val="5B28421E"/>
    <w:rsid w:val="5B389CA8"/>
    <w:rsid w:val="5B42D04B"/>
    <w:rsid w:val="5B5A767E"/>
    <w:rsid w:val="5B934FD6"/>
    <w:rsid w:val="5B9B7CF1"/>
    <w:rsid w:val="5B9F54A8"/>
    <w:rsid w:val="5BA28A36"/>
    <w:rsid w:val="5BC525EA"/>
    <w:rsid w:val="5BCE6B0D"/>
    <w:rsid w:val="5BDD5A89"/>
    <w:rsid w:val="5BDD8898"/>
    <w:rsid w:val="5BE0198F"/>
    <w:rsid w:val="5BE10A5D"/>
    <w:rsid w:val="5C0C286A"/>
    <w:rsid w:val="5C112BFC"/>
    <w:rsid w:val="5C4DD977"/>
    <w:rsid w:val="5C6850D9"/>
    <w:rsid w:val="5C7F0B5C"/>
    <w:rsid w:val="5CC37B82"/>
    <w:rsid w:val="5CC7CB78"/>
    <w:rsid w:val="5CD339B9"/>
    <w:rsid w:val="5CD477BD"/>
    <w:rsid w:val="5CE3469B"/>
    <w:rsid w:val="5CF5F31E"/>
    <w:rsid w:val="5D0331A0"/>
    <w:rsid w:val="5D05B6AF"/>
    <w:rsid w:val="5D081D6A"/>
    <w:rsid w:val="5D099208"/>
    <w:rsid w:val="5D1B1DE0"/>
    <w:rsid w:val="5D30A3DD"/>
    <w:rsid w:val="5D31D550"/>
    <w:rsid w:val="5D3D1518"/>
    <w:rsid w:val="5D8090CB"/>
    <w:rsid w:val="5D8192FB"/>
    <w:rsid w:val="5D8F81EE"/>
    <w:rsid w:val="5DB22FF0"/>
    <w:rsid w:val="5DBE1307"/>
    <w:rsid w:val="5DC43484"/>
    <w:rsid w:val="5DC5CE15"/>
    <w:rsid w:val="5DC6A960"/>
    <w:rsid w:val="5DC97435"/>
    <w:rsid w:val="5DD965A7"/>
    <w:rsid w:val="5DF911CA"/>
    <w:rsid w:val="5E09F1B8"/>
    <w:rsid w:val="5E0BCBAF"/>
    <w:rsid w:val="5E21ABC2"/>
    <w:rsid w:val="5E2F0155"/>
    <w:rsid w:val="5E6A6544"/>
    <w:rsid w:val="5E8637BD"/>
    <w:rsid w:val="5E86643F"/>
    <w:rsid w:val="5E88C775"/>
    <w:rsid w:val="5EB38F83"/>
    <w:rsid w:val="5EB63269"/>
    <w:rsid w:val="5EC2B08A"/>
    <w:rsid w:val="5ECAFF4A"/>
    <w:rsid w:val="5ED60F88"/>
    <w:rsid w:val="5ED97B60"/>
    <w:rsid w:val="5EDC25E7"/>
    <w:rsid w:val="5EE9B55F"/>
    <w:rsid w:val="5EF7AE01"/>
    <w:rsid w:val="5EFFD5FC"/>
    <w:rsid w:val="5F06660E"/>
    <w:rsid w:val="5F2ADFFE"/>
    <w:rsid w:val="5F345E21"/>
    <w:rsid w:val="5F4ECE25"/>
    <w:rsid w:val="5F6841E2"/>
    <w:rsid w:val="5F6BBB12"/>
    <w:rsid w:val="5F6D8CCE"/>
    <w:rsid w:val="5F7533D7"/>
    <w:rsid w:val="5FB5561C"/>
    <w:rsid w:val="60328103"/>
    <w:rsid w:val="605B8244"/>
    <w:rsid w:val="605D4D9B"/>
    <w:rsid w:val="6068FE27"/>
    <w:rsid w:val="60795FBD"/>
    <w:rsid w:val="6089E4BD"/>
    <w:rsid w:val="6094AC85"/>
    <w:rsid w:val="609E2E49"/>
    <w:rsid w:val="60A6AB8E"/>
    <w:rsid w:val="60AC8D45"/>
    <w:rsid w:val="60AD1405"/>
    <w:rsid w:val="60B18B83"/>
    <w:rsid w:val="60B5C5C7"/>
    <w:rsid w:val="60C1B35D"/>
    <w:rsid w:val="60F3CEBB"/>
    <w:rsid w:val="610165E3"/>
    <w:rsid w:val="611AE09A"/>
    <w:rsid w:val="612A2C95"/>
    <w:rsid w:val="613456C0"/>
    <w:rsid w:val="613AC381"/>
    <w:rsid w:val="61500654"/>
    <w:rsid w:val="615BC400"/>
    <w:rsid w:val="618230D2"/>
    <w:rsid w:val="6184AFC4"/>
    <w:rsid w:val="619F0741"/>
    <w:rsid w:val="61B05DCD"/>
    <w:rsid w:val="61B10FEB"/>
    <w:rsid w:val="61DF2DE1"/>
    <w:rsid w:val="61EA9C71"/>
    <w:rsid w:val="61F16912"/>
    <w:rsid w:val="620F9587"/>
    <w:rsid w:val="621087CD"/>
    <w:rsid w:val="6218209E"/>
    <w:rsid w:val="6225A0AC"/>
    <w:rsid w:val="623E8730"/>
    <w:rsid w:val="624B009D"/>
    <w:rsid w:val="625D46FA"/>
    <w:rsid w:val="626B318D"/>
    <w:rsid w:val="627C7BFB"/>
    <w:rsid w:val="62A599B3"/>
    <w:rsid w:val="62D1DD97"/>
    <w:rsid w:val="631BB3C9"/>
    <w:rsid w:val="6339B749"/>
    <w:rsid w:val="6350FB5F"/>
    <w:rsid w:val="63546A6A"/>
    <w:rsid w:val="63720ED2"/>
    <w:rsid w:val="6375F9EC"/>
    <w:rsid w:val="637B353F"/>
    <w:rsid w:val="638879DB"/>
    <w:rsid w:val="63B40B07"/>
    <w:rsid w:val="63E0CA82"/>
    <w:rsid w:val="63F4C74A"/>
    <w:rsid w:val="640582FB"/>
    <w:rsid w:val="6425A4D0"/>
    <w:rsid w:val="6425B60C"/>
    <w:rsid w:val="6435D989"/>
    <w:rsid w:val="643F0854"/>
    <w:rsid w:val="6443115A"/>
    <w:rsid w:val="6448A4FA"/>
    <w:rsid w:val="6462D955"/>
    <w:rsid w:val="6464A1D3"/>
    <w:rsid w:val="646C97DF"/>
    <w:rsid w:val="64712BD1"/>
    <w:rsid w:val="647D8A08"/>
    <w:rsid w:val="648C40DB"/>
    <w:rsid w:val="648E6907"/>
    <w:rsid w:val="64B0CE5F"/>
    <w:rsid w:val="64E9EA75"/>
    <w:rsid w:val="64EF549F"/>
    <w:rsid w:val="64FD9349"/>
    <w:rsid w:val="65231124"/>
    <w:rsid w:val="65340073"/>
    <w:rsid w:val="6540CC93"/>
    <w:rsid w:val="6554E697"/>
    <w:rsid w:val="6561E4E8"/>
    <w:rsid w:val="6568DA0F"/>
    <w:rsid w:val="656AC795"/>
    <w:rsid w:val="6571F8F5"/>
    <w:rsid w:val="657F7F69"/>
    <w:rsid w:val="65A0AAE6"/>
    <w:rsid w:val="65AE0E14"/>
    <w:rsid w:val="65B9EDD9"/>
    <w:rsid w:val="65C04465"/>
    <w:rsid w:val="65C4AD8E"/>
    <w:rsid w:val="65D94DA8"/>
    <w:rsid w:val="65DD4A83"/>
    <w:rsid w:val="65E00832"/>
    <w:rsid w:val="65EE99EA"/>
    <w:rsid w:val="65FE5B2E"/>
    <w:rsid w:val="660224CF"/>
    <w:rsid w:val="660D842A"/>
    <w:rsid w:val="6612DBFB"/>
    <w:rsid w:val="66266771"/>
    <w:rsid w:val="663A40FB"/>
    <w:rsid w:val="663F8681"/>
    <w:rsid w:val="668847EE"/>
    <w:rsid w:val="66923B46"/>
    <w:rsid w:val="66AFDCDB"/>
    <w:rsid w:val="66B41EA3"/>
    <w:rsid w:val="66D89E78"/>
    <w:rsid w:val="66DBD1B8"/>
    <w:rsid w:val="66DC9C01"/>
    <w:rsid w:val="672C2D0B"/>
    <w:rsid w:val="6730B04A"/>
    <w:rsid w:val="675A37BF"/>
    <w:rsid w:val="6782E307"/>
    <w:rsid w:val="6798A3BC"/>
    <w:rsid w:val="67BABCCF"/>
    <w:rsid w:val="67D056F8"/>
    <w:rsid w:val="67F65474"/>
    <w:rsid w:val="68054C4F"/>
    <w:rsid w:val="682D3B7B"/>
    <w:rsid w:val="684108A4"/>
    <w:rsid w:val="6847EFC3"/>
    <w:rsid w:val="685974D8"/>
    <w:rsid w:val="6897F213"/>
    <w:rsid w:val="689E18FD"/>
    <w:rsid w:val="68B547F6"/>
    <w:rsid w:val="68E0F6F0"/>
    <w:rsid w:val="68E4AE4C"/>
    <w:rsid w:val="68E5B786"/>
    <w:rsid w:val="68F44BED"/>
    <w:rsid w:val="690B96EB"/>
    <w:rsid w:val="690CE1A7"/>
    <w:rsid w:val="6934741D"/>
    <w:rsid w:val="693C4AC0"/>
    <w:rsid w:val="6943C0AC"/>
    <w:rsid w:val="694F2878"/>
    <w:rsid w:val="695C3072"/>
    <w:rsid w:val="695D5163"/>
    <w:rsid w:val="6979AD65"/>
    <w:rsid w:val="697CC036"/>
    <w:rsid w:val="69976105"/>
    <w:rsid w:val="699B1456"/>
    <w:rsid w:val="699FCE75"/>
    <w:rsid w:val="69A43042"/>
    <w:rsid w:val="69A92223"/>
    <w:rsid w:val="69BB4810"/>
    <w:rsid w:val="69C78FD8"/>
    <w:rsid w:val="69D358E8"/>
    <w:rsid w:val="6A27D9DA"/>
    <w:rsid w:val="6A4D4F78"/>
    <w:rsid w:val="6A534F08"/>
    <w:rsid w:val="6A54C957"/>
    <w:rsid w:val="6A60F011"/>
    <w:rsid w:val="6A6B230E"/>
    <w:rsid w:val="6A74958C"/>
    <w:rsid w:val="6A75F27C"/>
    <w:rsid w:val="6A8F6BF2"/>
    <w:rsid w:val="6A8FB5B6"/>
    <w:rsid w:val="6A8FECBA"/>
    <w:rsid w:val="6A96D8F3"/>
    <w:rsid w:val="6AADE9AF"/>
    <w:rsid w:val="6AB7FF04"/>
    <w:rsid w:val="6ABF2FBE"/>
    <w:rsid w:val="6ACBAAC1"/>
    <w:rsid w:val="6AD31507"/>
    <w:rsid w:val="6ADCB5B6"/>
    <w:rsid w:val="6AE29122"/>
    <w:rsid w:val="6B193EED"/>
    <w:rsid w:val="6B3AB099"/>
    <w:rsid w:val="6B44749A"/>
    <w:rsid w:val="6B469152"/>
    <w:rsid w:val="6B613EEB"/>
    <w:rsid w:val="6B72C557"/>
    <w:rsid w:val="6B7FEC32"/>
    <w:rsid w:val="6B80B622"/>
    <w:rsid w:val="6B9C21D2"/>
    <w:rsid w:val="6BE4E916"/>
    <w:rsid w:val="6BF37A45"/>
    <w:rsid w:val="6BFA43D2"/>
    <w:rsid w:val="6BFDED3E"/>
    <w:rsid w:val="6C0CA2A2"/>
    <w:rsid w:val="6C0F2FA4"/>
    <w:rsid w:val="6C3EE113"/>
    <w:rsid w:val="6C4B7018"/>
    <w:rsid w:val="6C63885A"/>
    <w:rsid w:val="6C63F715"/>
    <w:rsid w:val="6C8710AB"/>
    <w:rsid w:val="6C93B3B5"/>
    <w:rsid w:val="6C9D744D"/>
    <w:rsid w:val="6CCCE2EC"/>
    <w:rsid w:val="6CDB9C19"/>
    <w:rsid w:val="6CDD2038"/>
    <w:rsid w:val="6CE373CD"/>
    <w:rsid w:val="6CE5A874"/>
    <w:rsid w:val="6CE865C4"/>
    <w:rsid w:val="6CF2FE50"/>
    <w:rsid w:val="6D28E240"/>
    <w:rsid w:val="6D2DEFCB"/>
    <w:rsid w:val="6D39E9B9"/>
    <w:rsid w:val="6D867BEE"/>
    <w:rsid w:val="6D978B0E"/>
    <w:rsid w:val="6DAD8C2E"/>
    <w:rsid w:val="6DD44DEB"/>
    <w:rsid w:val="6DE632FB"/>
    <w:rsid w:val="6E2B53A3"/>
    <w:rsid w:val="6E2E895C"/>
    <w:rsid w:val="6E543737"/>
    <w:rsid w:val="6E68C143"/>
    <w:rsid w:val="6E8FFD5F"/>
    <w:rsid w:val="6E9F1164"/>
    <w:rsid w:val="6EB91A92"/>
    <w:rsid w:val="6EE04833"/>
    <w:rsid w:val="6EF09962"/>
    <w:rsid w:val="6EF7DA90"/>
    <w:rsid w:val="6EFCE92C"/>
    <w:rsid w:val="6F108CBE"/>
    <w:rsid w:val="6F163EFF"/>
    <w:rsid w:val="6F1AAE13"/>
    <w:rsid w:val="6F1B9BD4"/>
    <w:rsid w:val="6F2A6896"/>
    <w:rsid w:val="6F309FE9"/>
    <w:rsid w:val="6F687400"/>
    <w:rsid w:val="6F82EF0B"/>
    <w:rsid w:val="6FAA8D50"/>
    <w:rsid w:val="6FABB0D0"/>
    <w:rsid w:val="6FB94DA5"/>
    <w:rsid w:val="700FA272"/>
    <w:rsid w:val="7015BDFD"/>
    <w:rsid w:val="7025DC6B"/>
    <w:rsid w:val="702BF91E"/>
    <w:rsid w:val="7031AA0D"/>
    <w:rsid w:val="7033F6A8"/>
    <w:rsid w:val="703BAA00"/>
    <w:rsid w:val="704045F0"/>
    <w:rsid w:val="7081EA14"/>
    <w:rsid w:val="70923B34"/>
    <w:rsid w:val="70B11341"/>
    <w:rsid w:val="70BA8DD4"/>
    <w:rsid w:val="70CC44C2"/>
    <w:rsid w:val="70E53400"/>
    <w:rsid w:val="70E60086"/>
    <w:rsid w:val="70E8A1DE"/>
    <w:rsid w:val="712668C6"/>
    <w:rsid w:val="71514F5F"/>
    <w:rsid w:val="71758930"/>
    <w:rsid w:val="71767471"/>
    <w:rsid w:val="717CEEB8"/>
    <w:rsid w:val="717FAF76"/>
    <w:rsid w:val="719ED6F3"/>
    <w:rsid w:val="71A6CEC1"/>
    <w:rsid w:val="71D9C8A5"/>
    <w:rsid w:val="71EE6E0D"/>
    <w:rsid w:val="7208477D"/>
    <w:rsid w:val="72178A4E"/>
    <w:rsid w:val="722985E7"/>
    <w:rsid w:val="72310A03"/>
    <w:rsid w:val="7234EE95"/>
    <w:rsid w:val="723753A0"/>
    <w:rsid w:val="7248A2E6"/>
    <w:rsid w:val="725373C7"/>
    <w:rsid w:val="725BBDE1"/>
    <w:rsid w:val="72658472"/>
    <w:rsid w:val="726E5D31"/>
    <w:rsid w:val="727529F6"/>
    <w:rsid w:val="72810B20"/>
    <w:rsid w:val="7292A83F"/>
    <w:rsid w:val="7299672E"/>
    <w:rsid w:val="72B2D074"/>
    <w:rsid w:val="72BA66B7"/>
    <w:rsid w:val="72BC1B3B"/>
    <w:rsid w:val="72C99078"/>
    <w:rsid w:val="72DD13D9"/>
    <w:rsid w:val="72E02571"/>
    <w:rsid w:val="72E5E48E"/>
    <w:rsid w:val="72FA3BC0"/>
    <w:rsid w:val="72FF2B42"/>
    <w:rsid w:val="730287BE"/>
    <w:rsid w:val="731E9AB9"/>
    <w:rsid w:val="731EF0F2"/>
    <w:rsid w:val="7336B2B6"/>
    <w:rsid w:val="733E7F00"/>
    <w:rsid w:val="73410FF5"/>
    <w:rsid w:val="7352A7AD"/>
    <w:rsid w:val="738D557F"/>
    <w:rsid w:val="73911E55"/>
    <w:rsid w:val="7391599B"/>
    <w:rsid w:val="73957AFA"/>
    <w:rsid w:val="739BA30E"/>
    <w:rsid w:val="739D48BB"/>
    <w:rsid w:val="73A38A53"/>
    <w:rsid w:val="73A732BE"/>
    <w:rsid w:val="73A7EB83"/>
    <w:rsid w:val="73B6BB56"/>
    <w:rsid w:val="73B7B9ED"/>
    <w:rsid w:val="73B9BD48"/>
    <w:rsid w:val="73C8DA42"/>
    <w:rsid w:val="73E090A7"/>
    <w:rsid w:val="73E19526"/>
    <w:rsid w:val="73E1E7E8"/>
    <w:rsid w:val="73FBDBC8"/>
    <w:rsid w:val="740CB847"/>
    <w:rsid w:val="740EAAD5"/>
    <w:rsid w:val="7412537F"/>
    <w:rsid w:val="7417656F"/>
    <w:rsid w:val="74257833"/>
    <w:rsid w:val="742BCA82"/>
    <w:rsid w:val="747141C7"/>
    <w:rsid w:val="7472055A"/>
    <w:rsid w:val="7491D247"/>
    <w:rsid w:val="74B72275"/>
    <w:rsid w:val="74C5D923"/>
    <w:rsid w:val="74DC1154"/>
    <w:rsid w:val="74F7A523"/>
    <w:rsid w:val="754F34B5"/>
    <w:rsid w:val="758E3673"/>
    <w:rsid w:val="75ACFF45"/>
    <w:rsid w:val="75C14894"/>
    <w:rsid w:val="75C65019"/>
    <w:rsid w:val="75CD7AF9"/>
    <w:rsid w:val="75D4D056"/>
    <w:rsid w:val="75DAA7B6"/>
    <w:rsid w:val="75E7036B"/>
    <w:rsid w:val="7600C7A0"/>
    <w:rsid w:val="762AA3BA"/>
    <w:rsid w:val="762D294A"/>
    <w:rsid w:val="763ADCAC"/>
    <w:rsid w:val="7668D64D"/>
    <w:rsid w:val="76855DE6"/>
    <w:rsid w:val="7693458D"/>
    <w:rsid w:val="76AAD384"/>
    <w:rsid w:val="76C35104"/>
    <w:rsid w:val="76C90710"/>
    <w:rsid w:val="76CF8B3C"/>
    <w:rsid w:val="76DAFFE6"/>
    <w:rsid w:val="76FF2897"/>
    <w:rsid w:val="77074141"/>
    <w:rsid w:val="772FC6EF"/>
    <w:rsid w:val="7759412F"/>
    <w:rsid w:val="777EFA55"/>
    <w:rsid w:val="778DD7DA"/>
    <w:rsid w:val="7799E68B"/>
    <w:rsid w:val="779E570C"/>
    <w:rsid w:val="77A34B42"/>
    <w:rsid w:val="77A9C2F9"/>
    <w:rsid w:val="77BE0560"/>
    <w:rsid w:val="77CC09CE"/>
    <w:rsid w:val="77D9057A"/>
    <w:rsid w:val="77E56B82"/>
    <w:rsid w:val="78086687"/>
    <w:rsid w:val="780A4D2F"/>
    <w:rsid w:val="7813EA3D"/>
    <w:rsid w:val="78174714"/>
    <w:rsid w:val="78322F78"/>
    <w:rsid w:val="78A430B9"/>
    <w:rsid w:val="78AB4590"/>
    <w:rsid w:val="78FD13A7"/>
    <w:rsid w:val="790A7208"/>
    <w:rsid w:val="7929A83B"/>
    <w:rsid w:val="79345F49"/>
    <w:rsid w:val="7973C44E"/>
    <w:rsid w:val="79762DD1"/>
    <w:rsid w:val="79836604"/>
    <w:rsid w:val="79978335"/>
    <w:rsid w:val="79A6E77D"/>
    <w:rsid w:val="79B78D9A"/>
    <w:rsid w:val="79D82A4C"/>
    <w:rsid w:val="79E000C6"/>
    <w:rsid w:val="79E9F2C0"/>
    <w:rsid w:val="79F28849"/>
    <w:rsid w:val="7A0366AC"/>
    <w:rsid w:val="7A22BF81"/>
    <w:rsid w:val="7A30BDE1"/>
    <w:rsid w:val="7A3DFCC2"/>
    <w:rsid w:val="7A418FB1"/>
    <w:rsid w:val="7A5B53E6"/>
    <w:rsid w:val="7A5EB322"/>
    <w:rsid w:val="7A6533DF"/>
    <w:rsid w:val="7A6A5272"/>
    <w:rsid w:val="7A76B0EF"/>
    <w:rsid w:val="7A78538B"/>
    <w:rsid w:val="7A946778"/>
    <w:rsid w:val="7A94B9B7"/>
    <w:rsid w:val="7AB9E3C0"/>
    <w:rsid w:val="7AC8BF68"/>
    <w:rsid w:val="7AE746DD"/>
    <w:rsid w:val="7AEB356F"/>
    <w:rsid w:val="7B048B60"/>
    <w:rsid w:val="7B182663"/>
    <w:rsid w:val="7B234D84"/>
    <w:rsid w:val="7B2A4D07"/>
    <w:rsid w:val="7B58DC06"/>
    <w:rsid w:val="7B7E60CA"/>
    <w:rsid w:val="7B7EDC1F"/>
    <w:rsid w:val="7B96FB7E"/>
    <w:rsid w:val="7BA718A4"/>
    <w:rsid w:val="7BAE680C"/>
    <w:rsid w:val="7BB73498"/>
    <w:rsid w:val="7BE17B8F"/>
    <w:rsid w:val="7BEC41E1"/>
    <w:rsid w:val="7C11E9D8"/>
    <w:rsid w:val="7C30B549"/>
    <w:rsid w:val="7C390D9D"/>
    <w:rsid w:val="7C435490"/>
    <w:rsid w:val="7C4820A0"/>
    <w:rsid w:val="7C57099F"/>
    <w:rsid w:val="7CA7DF8B"/>
    <w:rsid w:val="7CBB1E06"/>
    <w:rsid w:val="7CC56381"/>
    <w:rsid w:val="7CC8D467"/>
    <w:rsid w:val="7CCE733B"/>
    <w:rsid w:val="7CE02AFD"/>
    <w:rsid w:val="7CE55EBF"/>
    <w:rsid w:val="7D3A7EDE"/>
    <w:rsid w:val="7D3ECFDA"/>
    <w:rsid w:val="7D43807D"/>
    <w:rsid w:val="7D498E16"/>
    <w:rsid w:val="7D5456AD"/>
    <w:rsid w:val="7D558F9B"/>
    <w:rsid w:val="7D59CCBB"/>
    <w:rsid w:val="7D7CF6F0"/>
    <w:rsid w:val="7D8E2220"/>
    <w:rsid w:val="7D917E4E"/>
    <w:rsid w:val="7DAC5609"/>
    <w:rsid w:val="7DCB5895"/>
    <w:rsid w:val="7DE4235B"/>
    <w:rsid w:val="7DE97D10"/>
    <w:rsid w:val="7E182266"/>
    <w:rsid w:val="7E40FA99"/>
    <w:rsid w:val="7E618262"/>
    <w:rsid w:val="7E6344D3"/>
    <w:rsid w:val="7E670192"/>
    <w:rsid w:val="7E75001D"/>
    <w:rsid w:val="7E831275"/>
    <w:rsid w:val="7E97D266"/>
    <w:rsid w:val="7E995E61"/>
    <w:rsid w:val="7EAD5B47"/>
    <w:rsid w:val="7EAF90D5"/>
    <w:rsid w:val="7EC10D50"/>
    <w:rsid w:val="7ED25798"/>
    <w:rsid w:val="7EDBDD77"/>
    <w:rsid w:val="7EFD7C1A"/>
    <w:rsid w:val="7EFF1E38"/>
    <w:rsid w:val="7F09E054"/>
    <w:rsid w:val="7F1B8C99"/>
    <w:rsid w:val="7F1DC42E"/>
    <w:rsid w:val="7F34B956"/>
    <w:rsid w:val="7F34EDBB"/>
    <w:rsid w:val="7F353C86"/>
    <w:rsid w:val="7F387019"/>
    <w:rsid w:val="7F403E3F"/>
    <w:rsid w:val="7F67B83F"/>
    <w:rsid w:val="7F7928D1"/>
    <w:rsid w:val="7F805153"/>
    <w:rsid w:val="7F82209E"/>
    <w:rsid w:val="7FAB737D"/>
    <w:rsid w:val="7FB398B5"/>
    <w:rsid w:val="7FBCB512"/>
    <w:rsid w:val="7FE36DC0"/>
    <w:rsid w:val="7FE4BEC5"/>
    <w:rsid w:val="7FF842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DE161"/>
  <w15:chartTrackingRefBased/>
  <w15:docId w15:val="{789F4D4E-10B2-4C38-A074-82E8FA4FA00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15D16"/>
    <w:pPr>
      <w:spacing w:after="240" w:line="276" w:lineRule="auto"/>
      <w:jc w:val="both"/>
    </w:pPr>
  </w:style>
  <w:style w:type="paragraph" w:styleId="Heading1">
    <w:name w:val="heading 1"/>
    <w:basedOn w:val="Normal"/>
    <w:next w:val="Normal"/>
    <w:link w:val="Heading1Char"/>
    <w:uiPriority w:val="9"/>
    <w:qFormat/>
    <w:rsid w:val="00D15D16"/>
    <w:pPr>
      <w:shd w:val="clear" w:color="auto" w:fill="008938"/>
      <w:outlineLvl w:val="0"/>
    </w:pPr>
    <w:rPr>
      <w:rFonts w:eastAsiaTheme="minorEastAsia" w:cstheme="minorHAnsi"/>
      <w:b/>
      <w:bCs/>
      <w:caps/>
      <w:color w:val="FFFFFF" w:themeColor="background1"/>
      <w:sz w:val="28"/>
    </w:rPr>
  </w:style>
  <w:style w:type="paragraph" w:styleId="Heading2">
    <w:name w:val="heading 2"/>
    <w:basedOn w:val="Normal"/>
    <w:next w:val="Normal"/>
    <w:link w:val="Heading2Char"/>
    <w:autoRedefine/>
    <w:uiPriority w:val="9"/>
    <w:unhideWhenUsed/>
    <w:qFormat/>
    <w:rsid w:val="00964391"/>
    <w:pPr>
      <w:keepNext/>
      <w:keepLines/>
      <w:spacing w:before="240" w:after="120" w:line="254" w:lineRule="auto"/>
      <w:outlineLvl w:val="1"/>
    </w:pPr>
    <w:rPr>
      <w:rFonts w:eastAsia="Calibri" w:cstheme="minorHAnsi"/>
      <w:b/>
      <w:bCs/>
      <w:szCs w:val="20"/>
    </w:rPr>
  </w:style>
  <w:style w:type="paragraph" w:styleId="Heading3">
    <w:name w:val="heading 3"/>
    <w:basedOn w:val="Normal"/>
    <w:next w:val="Normal"/>
    <w:link w:val="Heading3Char"/>
    <w:uiPriority w:val="9"/>
    <w:unhideWhenUsed/>
    <w:qFormat/>
    <w:rsid w:val="006E055F"/>
    <w:pPr>
      <w:keepNext/>
      <w:keepLines/>
      <w:spacing w:before="40" w:after="0"/>
      <w:outlineLvl w:val="2"/>
    </w:pPr>
    <w:rPr>
      <w:rFonts w:eastAsia="Times New Roman" w:cstheme="minorHAnsi"/>
      <w:i/>
      <w:iCs/>
      <w:color w:val="008938"/>
    </w:rPr>
  </w:style>
  <w:style w:type="paragraph" w:styleId="Heading4">
    <w:name w:val="heading 4"/>
    <w:basedOn w:val="Normal"/>
    <w:next w:val="Normal"/>
    <w:link w:val="Heading4Char"/>
    <w:uiPriority w:val="9"/>
    <w:unhideWhenUsed/>
    <w:qFormat/>
    <w:rsid w:val="005F19C6"/>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15D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D15D16"/>
  </w:style>
  <w:style w:type="paragraph" w:styleId="Footer">
    <w:name w:val="footer"/>
    <w:basedOn w:val="Normal"/>
    <w:link w:val="FooterChar"/>
    <w:uiPriority w:val="99"/>
    <w:unhideWhenUsed/>
    <w:rsid w:val="00D15D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D15D16"/>
  </w:style>
  <w:style w:type="character" w:styleId="PlaceholderText">
    <w:name w:val="Placeholder Text"/>
    <w:basedOn w:val="DefaultParagraphFont"/>
    <w:uiPriority w:val="99"/>
    <w:semiHidden/>
    <w:rsid w:val="00D15D16"/>
    <w:rPr>
      <w:color w:val="808080"/>
    </w:rPr>
  </w:style>
  <w:style w:type="character" w:styleId="Heading1Char" w:customStyle="1">
    <w:name w:val="Heading 1 Char"/>
    <w:basedOn w:val="DefaultParagraphFont"/>
    <w:link w:val="Heading1"/>
    <w:uiPriority w:val="9"/>
    <w:rsid w:val="00D15D16"/>
    <w:rPr>
      <w:rFonts w:eastAsiaTheme="minorEastAsia" w:cstheme="minorHAnsi"/>
      <w:b/>
      <w:bCs/>
      <w:caps/>
      <w:color w:val="FFFFFF" w:themeColor="background1"/>
      <w:sz w:val="28"/>
      <w:shd w:val="clear" w:color="auto" w:fill="008938"/>
    </w:rPr>
  </w:style>
  <w:style w:type="table" w:styleId="TableGrid">
    <w:name w:val="Table Grid"/>
    <w:basedOn w:val="TableNormal"/>
    <w:uiPriority w:val="39"/>
    <w:rsid w:val="00D15D16"/>
    <w:pPr>
      <w:spacing w:before="60" w:after="80" w:line="240" w:lineRule="auto"/>
    </w:pPr>
    <w:rPr>
      <w:rFonts w:eastAsiaTheme="minorEastAsia"/>
      <w:sz w:val="20"/>
      <w:szCs w:val="20"/>
    </w:rPr>
    <w:tblP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
  </w:style>
  <w:style w:type="paragraph" w:styleId="ListParagraph">
    <w:name w:val="List Paragraph"/>
    <w:aliases w:val="Numbered Para 1,Dot pt,No Spacing1,List Paragraph Char Char Char,Indicator Text,List Paragraph1,Bullet Points,MAIN CONTENT,List Paragraph12,F5 List Paragraph,OBC Bullet,Bullet 1,List Paragraph11,Colorful List - Accent 11,Normal numbered,L"/>
    <w:basedOn w:val="Normal"/>
    <w:link w:val="ListParagraphChar"/>
    <w:uiPriority w:val="34"/>
    <w:qFormat/>
    <w:rsid w:val="00D15D16"/>
    <w:pPr>
      <w:spacing w:after="120"/>
      <w:ind w:left="720"/>
      <w:contextualSpacing/>
      <w:textAlignment w:val="baseline"/>
    </w:pPr>
    <w:rPr>
      <w:rFonts w:ascii="Calibri" w:hAnsi="Calibri" w:cs="Calibri" w:eastAsiaTheme="minorEastAsia"/>
      <w:color w:val="000000"/>
      <w:shd w:val="clear" w:color="auto" w:fill="FFFFFF"/>
      <w:lang w:eastAsia="en-GB"/>
    </w:rPr>
  </w:style>
  <w:style w:type="character" w:styleId="ListParagraphChar" w:customStyle="1">
    <w:name w:val="List Paragraph Char"/>
    <w:aliases w:val="Numbered Para 1 Char,Dot pt Char,No Spacing1 Char,List Paragraph Char Char Char Char,Indicator Text Char,List Paragraph1 Char,Bullet Points Char,MAIN CONTENT Char,List Paragraph12 Char,F5 List Paragraph Char,OBC Bullet Char,L Char"/>
    <w:basedOn w:val="DefaultParagraphFont"/>
    <w:link w:val="ListParagraph"/>
    <w:uiPriority w:val="34"/>
    <w:qFormat/>
    <w:rsid w:val="00D15D16"/>
    <w:rPr>
      <w:rFonts w:ascii="Calibri" w:hAnsi="Calibri" w:cs="Calibri" w:eastAsiaTheme="minorEastAsia"/>
      <w:color w:val="000000"/>
      <w:lang w:eastAsia="en-GB"/>
    </w:rPr>
  </w:style>
  <w:style w:type="character" w:styleId="CommentReference">
    <w:name w:val="annotation reference"/>
    <w:basedOn w:val="DefaultParagraphFont"/>
    <w:uiPriority w:val="99"/>
    <w:unhideWhenUsed/>
    <w:rsid w:val="00D15D16"/>
    <w:rPr>
      <w:sz w:val="16"/>
      <w:szCs w:val="16"/>
    </w:rPr>
  </w:style>
  <w:style w:type="paragraph" w:styleId="CommentText">
    <w:name w:val="annotation text"/>
    <w:basedOn w:val="Normal"/>
    <w:link w:val="CommentTextChar"/>
    <w:uiPriority w:val="99"/>
    <w:unhideWhenUsed/>
    <w:rsid w:val="00D15D16"/>
    <w:pPr>
      <w:spacing w:after="120"/>
      <w:textAlignment w:val="baseline"/>
    </w:pPr>
    <w:rPr>
      <w:rFonts w:ascii="Calibri" w:hAnsi="Calibri" w:cs="Calibri" w:eastAsiaTheme="minorEastAsia"/>
      <w:color w:val="000000"/>
      <w:shd w:val="clear" w:color="auto" w:fill="FFFFFF"/>
      <w:lang w:eastAsia="en-GB"/>
    </w:rPr>
  </w:style>
  <w:style w:type="character" w:styleId="CommentTextChar" w:customStyle="1">
    <w:name w:val="Comment Text Char"/>
    <w:basedOn w:val="DefaultParagraphFont"/>
    <w:link w:val="CommentText"/>
    <w:uiPriority w:val="99"/>
    <w:rsid w:val="00D15D16"/>
    <w:rPr>
      <w:rFonts w:ascii="Calibri" w:hAnsi="Calibri" w:cs="Calibri" w:eastAsiaTheme="minorEastAsia"/>
      <w:color w:val="000000"/>
      <w:lang w:eastAsia="en-GB"/>
    </w:rPr>
  </w:style>
  <w:style w:type="paragraph" w:styleId="FootnoteText">
    <w:name w:val="footnote text"/>
    <w:aliases w:val="Char1 Char,Char1 Char Char,Char5,FOOTNOTES,Footnote text,Fuß,Fußnote,Note de bas de page Car1 Car,Schriftart: 10 pt,Schriftart: 8 pt,Schriftart: 9 pt,Testo nota a piè di pagina Carattere,f,fn,footnote,o"/>
    <w:basedOn w:val="Normal"/>
    <w:link w:val="FootnoteTextChar"/>
    <w:uiPriority w:val="99"/>
    <w:qFormat/>
    <w:rsid w:val="00D15D16"/>
    <w:pPr>
      <w:spacing w:after="0" w:line="240" w:lineRule="auto"/>
      <w:textAlignment w:val="baseline"/>
    </w:pPr>
    <w:rPr>
      <w:rFonts w:eastAsia="MS Mincho" w:cs="Times New Roman"/>
      <w:color w:val="000000"/>
      <w:sz w:val="18"/>
      <w:szCs w:val="24"/>
      <w:shd w:val="clear" w:color="auto" w:fill="FFFFFF"/>
      <w:lang w:eastAsia="en-GB"/>
    </w:rPr>
  </w:style>
  <w:style w:type="character" w:styleId="FootnoteTextChar" w:customStyle="1">
    <w:name w:val="Footnote Text Char"/>
    <w:aliases w:val="Char1 Char Char1,Char1 Char Char Char,Char5 Char,FOOTNOTES Char,Footnote text Char,Fuß Char,Fußnote Char,Note de bas de page Car1 Car Char,Schriftart: 10 pt Char,Schriftart: 8 pt Char,Schriftart: 9 pt Char,f Char,fn Char,footnote Char"/>
    <w:basedOn w:val="DefaultParagraphFont"/>
    <w:link w:val="FootnoteText"/>
    <w:uiPriority w:val="99"/>
    <w:rsid w:val="00D15D16"/>
    <w:rPr>
      <w:rFonts w:eastAsia="MS Mincho" w:cs="Times New Roman"/>
      <w:color w:val="000000"/>
      <w:sz w:val="18"/>
      <w:szCs w:val="24"/>
      <w:lang w:eastAsia="en-GB"/>
    </w:rPr>
  </w:style>
  <w:style w:type="character" w:styleId="FootnoteReference">
    <w:name w:val="footnote reference"/>
    <w:aliases w:val="BVI fnr,BVI fnr Car Car Char,BVI fnr Car Char,EN Footnote Reference,Exposant 3 Point,FR,Footnote Reference Superscript,Footnote reference number,Footnote symbol,Ref,SUPERS,Times 10 Point,de nota al pie,ftref,note TESI,number,stylish"/>
    <w:basedOn w:val="DefaultParagraphFont"/>
    <w:link w:val="BVIfnrCarCar"/>
    <w:uiPriority w:val="99"/>
    <w:qFormat/>
    <w:rsid w:val="00D15D16"/>
    <w:rPr>
      <w:vertAlign w:val="superscript"/>
    </w:rPr>
  </w:style>
  <w:style w:type="character" w:styleId="normaltextrun" w:customStyle="1">
    <w:name w:val="normaltextrun"/>
    <w:basedOn w:val="DefaultParagraphFont"/>
    <w:rsid w:val="00D15D16"/>
  </w:style>
  <w:style w:type="character" w:styleId="eop" w:customStyle="1">
    <w:name w:val="eop"/>
    <w:basedOn w:val="DefaultParagraphFont"/>
    <w:rsid w:val="00D15D16"/>
  </w:style>
  <w:style w:type="paragraph" w:styleId="BVIfnrCarCar" w:customStyle="1">
    <w:name w:val="BVI fnr Car Car"/>
    <w:aliases w:val="BVI fnr Car,BVI fnr Car Car Car Car"/>
    <w:basedOn w:val="Normal"/>
    <w:link w:val="FootnoteReference"/>
    <w:autoRedefine/>
    <w:uiPriority w:val="99"/>
    <w:rsid w:val="00D15D16"/>
    <w:pPr>
      <w:spacing w:line="240" w:lineRule="exact"/>
      <w:textAlignment w:val="baseline"/>
    </w:pPr>
    <w:rPr>
      <w:shd w:val="clear" w:color="auto" w:fill="FFFFFF"/>
      <w:vertAlign w:val="superscript"/>
    </w:rPr>
  </w:style>
  <w:style w:type="character" w:styleId="Mention">
    <w:name w:val="Mention"/>
    <w:basedOn w:val="DefaultParagraphFont"/>
    <w:uiPriority w:val="99"/>
    <w:unhideWhenUsed/>
    <w:rsid w:val="00D15D16"/>
    <w:rPr>
      <w:color w:val="2B579A"/>
      <w:shd w:val="clear" w:color="auto" w:fill="E1DFDD"/>
    </w:rPr>
  </w:style>
  <w:style w:type="character" w:styleId="Heading2Char" w:customStyle="1">
    <w:name w:val="Heading 2 Char"/>
    <w:basedOn w:val="DefaultParagraphFont"/>
    <w:link w:val="Heading2"/>
    <w:uiPriority w:val="9"/>
    <w:rsid w:val="0022760D"/>
    <w:rPr>
      <w:rFonts w:eastAsia="Calibri" w:cstheme="minorHAnsi"/>
      <w:b/>
      <w:bCs/>
      <w:szCs w:val="20"/>
    </w:rPr>
  </w:style>
  <w:style w:type="character" w:styleId="Hyperlink">
    <w:name w:val="Hyperlink"/>
    <w:basedOn w:val="DefaultParagraphFont"/>
    <w:uiPriority w:val="99"/>
    <w:unhideWhenUsed/>
    <w:rsid w:val="00D15D16"/>
    <w:rPr>
      <w:color w:val="013AD9"/>
      <w:u w:val="single"/>
    </w:rPr>
  </w:style>
  <w:style w:type="paragraph" w:styleId="NoSpacing">
    <w:name w:val="No Spacing"/>
    <w:uiPriority w:val="1"/>
    <w:qFormat/>
    <w:rsid w:val="00D15D16"/>
    <w:pPr>
      <w:spacing w:after="0" w:line="240" w:lineRule="auto"/>
      <w:jc w:val="both"/>
    </w:pPr>
  </w:style>
  <w:style w:type="paragraph" w:styleId="Caption">
    <w:name w:val="caption"/>
    <w:basedOn w:val="Normal"/>
    <w:next w:val="Normal"/>
    <w:uiPriority w:val="35"/>
    <w:unhideWhenUsed/>
    <w:qFormat/>
    <w:rsid w:val="00D15D16"/>
    <w:pPr>
      <w:spacing w:after="200" w:line="240" w:lineRule="auto"/>
      <w:jc w:val="center"/>
    </w:pPr>
    <w:rPr>
      <w:i/>
      <w:iCs/>
      <w:color w:val="44546A" w:themeColor="text2"/>
      <w:szCs w:val="18"/>
    </w:rPr>
  </w:style>
  <w:style w:type="paragraph" w:styleId="Table" w:customStyle="1">
    <w:name w:val="Table"/>
    <w:basedOn w:val="Normal"/>
    <w:link w:val="TableChar"/>
    <w:qFormat/>
    <w:rsid w:val="00D15D16"/>
    <w:pPr>
      <w:spacing w:before="60" w:after="120"/>
      <w:textAlignment w:val="baseline"/>
    </w:pPr>
    <w:rPr>
      <w:rFonts w:eastAsiaTheme="minorEastAsia" w:cstheme="minorHAnsi"/>
      <w:noProof/>
      <w:color w:val="000000"/>
      <w:sz w:val="20"/>
      <w:szCs w:val="20"/>
      <w:shd w:val="clear" w:color="auto" w:fill="FFFFFF"/>
      <w:lang w:eastAsia="en-GB"/>
    </w:rPr>
  </w:style>
  <w:style w:type="character" w:styleId="TableChar" w:customStyle="1">
    <w:name w:val="Table Char"/>
    <w:basedOn w:val="DefaultParagraphFont"/>
    <w:link w:val="Table"/>
    <w:rsid w:val="00D15D16"/>
    <w:rPr>
      <w:rFonts w:eastAsiaTheme="minorEastAsia" w:cstheme="minorHAnsi"/>
      <w:noProof/>
      <w:color w:val="000000"/>
      <w:sz w:val="20"/>
      <w:szCs w:val="20"/>
      <w:lang w:eastAsia="en-GB"/>
    </w:rPr>
  </w:style>
  <w:style w:type="character" w:styleId="Heading3Char" w:customStyle="1">
    <w:name w:val="Heading 3 Char"/>
    <w:basedOn w:val="DefaultParagraphFont"/>
    <w:link w:val="Heading3"/>
    <w:uiPriority w:val="9"/>
    <w:rsid w:val="006E055F"/>
    <w:rPr>
      <w:rFonts w:eastAsia="Times New Roman" w:cstheme="minorHAnsi"/>
      <w:i/>
      <w:iCs/>
      <w:color w:val="008938"/>
    </w:rPr>
  </w:style>
  <w:style w:type="character" w:styleId="SmartLink">
    <w:name w:val="Smart Link"/>
    <w:basedOn w:val="DefaultParagraphFont"/>
    <w:uiPriority w:val="99"/>
    <w:semiHidden/>
    <w:unhideWhenUsed/>
    <w:rsid w:val="006E055F"/>
    <w:rPr>
      <w:rFonts w:hint="default" w:ascii="Times New Roman" w:hAnsi="Times New Roman" w:cs="Times New Roman"/>
      <w:color w:val="0000FF"/>
      <w:u w:val="single"/>
      <w:shd w:val="clear" w:color="auto" w:fill="F3F2F1"/>
    </w:rPr>
  </w:style>
  <w:style w:type="character" w:styleId="Blocktextsuperscript" w:customStyle="1">
    <w:name w:val="Block text (superscript)"/>
    <w:uiPriority w:val="1"/>
    <w:qFormat/>
    <w:rsid w:val="006E055F"/>
    <w:rPr>
      <w:rFonts w:ascii="Arial" w:hAnsi="Arial"/>
      <w:sz w:val="20"/>
      <w:vertAlign w:val="baseline"/>
    </w:rPr>
  </w:style>
  <w:style w:type="paragraph" w:styleId="CommentSubject">
    <w:name w:val="annotation subject"/>
    <w:basedOn w:val="CommentText"/>
    <w:next w:val="CommentText"/>
    <w:link w:val="CommentSubjectChar"/>
    <w:uiPriority w:val="99"/>
    <w:semiHidden/>
    <w:unhideWhenUsed/>
    <w:rsid w:val="006E055F"/>
    <w:pPr>
      <w:spacing w:after="240" w:line="240" w:lineRule="auto"/>
      <w:textAlignment w:val="auto"/>
    </w:pPr>
    <w:rPr>
      <w:rFonts w:asciiTheme="minorHAnsi" w:hAnsiTheme="minorHAnsi" w:eastAsiaTheme="minorHAnsi" w:cstheme="minorBidi"/>
      <w:b/>
      <w:bCs/>
      <w:color w:val="auto"/>
      <w:sz w:val="20"/>
      <w:szCs w:val="20"/>
      <w:shd w:val="clear" w:color="auto" w:fill="auto"/>
      <w:lang w:eastAsia="en-US"/>
    </w:rPr>
  </w:style>
  <w:style w:type="character" w:styleId="CommentSubjectChar" w:customStyle="1">
    <w:name w:val="Comment Subject Char"/>
    <w:basedOn w:val="CommentTextChar"/>
    <w:link w:val="CommentSubject"/>
    <w:uiPriority w:val="99"/>
    <w:semiHidden/>
    <w:rsid w:val="006E055F"/>
    <w:rPr>
      <w:rFonts w:ascii="Calibri" w:hAnsi="Calibri" w:cs="Calibri" w:eastAsiaTheme="minorEastAsia"/>
      <w:b/>
      <w:bCs/>
      <w:color w:val="000000"/>
      <w:sz w:val="20"/>
      <w:szCs w:val="20"/>
      <w:lang w:eastAsia="en-GB"/>
    </w:rPr>
  </w:style>
  <w:style w:type="paragraph" w:styleId="Title">
    <w:name w:val="Title"/>
    <w:basedOn w:val="Normal"/>
    <w:next w:val="Normal"/>
    <w:link w:val="TitleChar"/>
    <w:uiPriority w:val="10"/>
    <w:qFormat/>
    <w:rsid w:val="00480F39"/>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80F39"/>
    <w:rPr>
      <w:rFonts w:asciiTheme="majorHAnsi" w:hAnsiTheme="majorHAnsi" w:eastAsiaTheme="majorEastAsia" w:cstheme="majorBidi"/>
      <w:spacing w:val="-10"/>
      <w:kern w:val="28"/>
      <w:sz w:val="56"/>
      <w:szCs w:val="56"/>
    </w:rPr>
  </w:style>
  <w:style w:type="paragraph" w:styleId="TOCHeading">
    <w:name w:val="TOC Heading"/>
    <w:basedOn w:val="Heading1"/>
    <w:next w:val="Normal"/>
    <w:uiPriority w:val="39"/>
    <w:unhideWhenUsed/>
    <w:qFormat/>
    <w:rsid w:val="00480F39"/>
    <w:pPr>
      <w:keepNext/>
      <w:keepLines/>
      <w:shd w:val="clear" w:color="auto" w:fill="auto"/>
      <w:spacing w:before="240" w:after="0" w:line="259" w:lineRule="auto"/>
      <w:jc w:val="left"/>
      <w:outlineLvl w:val="9"/>
    </w:pPr>
    <w:rPr>
      <w:rFonts w:asciiTheme="majorHAnsi" w:hAnsiTheme="majorHAnsi" w:eastAsiaTheme="majorEastAsia" w:cstheme="majorBidi"/>
      <w:b w:val="0"/>
      <w:bCs w:val="0"/>
      <w:caps w:val="0"/>
      <w:color w:val="2F5496" w:themeColor="accent1" w:themeShade="BF"/>
      <w:sz w:val="32"/>
      <w:szCs w:val="32"/>
      <w:lang w:val="en-US"/>
    </w:rPr>
  </w:style>
  <w:style w:type="paragraph" w:styleId="TOC1">
    <w:name w:val="toc 1"/>
    <w:basedOn w:val="Normal"/>
    <w:next w:val="Normal"/>
    <w:autoRedefine/>
    <w:uiPriority w:val="39"/>
    <w:unhideWhenUsed/>
    <w:rsid w:val="00A15CD9"/>
    <w:pPr>
      <w:tabs>
        <w:tab w:val="right" w:leader="dot" w:pos="9016"/>
      </w:tabs>
      <w:spacing w:after="100" w:line="240" w:lineRule="auto"/>
    </w:pPr>
  </w:style>
  <w:style w:type="paragraph" w:styleId="TOC2">
    <w:name w:val="toc 2"/>
    <w:basedOn w:val="Normal"/>
    <w:next w:val="Normal"/>
    <w:autoRedefine/>
    <w:uiPriority w:val="39"/>
    <w:unhideWhenUsed/>
    <w:rsid w:val="00947D53"/>
    <w:pPr>
      <w:tabs>
        <w:tab w:val="right" w:leader="dot" w:pos="9016"/>
      </w:tabs>
      <w:spacing w:after="100" w:line="240" w:lineRule="auto"/>
      <w:ind w:left="220"/>
    </w:pPr>
    <w:rPr>
      <w:rFonts w:eastAsia="Calibri" w:cstheme="minorHAnsi"/>
      <w:b/>
      <w:bCs/>
      <w:noProof/>
      <w:sz w:val="20"/>
      <w:szCs w:val="20"/>
    </w:rPr>
  </w:style>
  <w:style w:type="paragraph" w:styleId="TOC3">
    <w:name w:val="toc 3"/>
    <w:basedOn w:val="Normal"/>
    <w:next w:val="Normal"/>
    <w:autoRedefine/>
    <w:uiPriority w:val="39"/>
    <w:unhideWhenUsed/>
    <w:rsid w:val="00480F39"/>
    <w:pPr>
      <w:spacing w:after="100"/>
      <w:ind w:left="440"/>
    </w:pPr>
  </w:style>
  <w:style w:type="paragraph" w:styleId="TableofFigures">
    <w:name w:val="table of figures"/>
    <w:basedOn w:val="Normal"/>
    <w:next w:val="Normal"/>
    <w:uiPriority w:val="99"/>
    <w:unhideWhenUsed/>
    <w:rsid w:val="00480F39"/>
    <w:pPr>
      <w:spacing w:after="0"/>
    </w:pPr>
  </w:style>
  <w:style w:type="character" w:styleId="UnresolvedMention">
    <w:name w:val="Unresolved Mention"/>
    <w:basedOn w:val="DefaultParagraphFont"/>
    <w:uiPriority w:val="99"/>
    <w:unhideWhenUsed/>
    <w:rsid w:val="002B200D"/>
    <w:rPr>
      <w:color w:val="605E5C"/>
      <w:shd w:val="clear" w:color="auto" w:fill="E1DFDD"/>
    </w:rPr>
  </w:style>
  <w:style w:type="character" w:styleId="FollowedHyperlink">
    <w:name w:val="FollowedHyperlink"/>
    <w:basedOn w:val="DefaultParagraphFont"/>
    <w:uiPriority w:val="99"/>
    <w:semiHidden/>
    <w:unhideWhenUsed/>
    <w:rsid w:val="00782486"/>
    <w:rPr>
      <w:color w:val="954F72" w:themeColor="followedHyperlink"/>
      <w:u w:val="single"/>
    </w:rPr>
  </w:style>
  <w:style w:type="character" w:styleId="Heading4Char" w:customStyle="1">
    <w:name w:val="Heading 4 Char"/>
    <w:basedOn w:val="DefaultParagraphFont"/>
    <w:link w:val="Heading4"/>
    <w:uiPriority w:val="9"/>
    <w:rsid w:val="005F19C6"/>
    <w:rPr>
      <w:rFonts w:asciiTheme="majorHAnsi" w:hAnsiTheme="majorHAnsi" w:eastAsiaTheme="majorEastAsia" w:cstheme="majorBidi"/>
      <w:i/>
      <w:iCs/>
      <w:color w:val="2F5496" w:themeColor="accent1" w:themeShade="BF"/>
    </w:rPr>
  </w:style>
  <w:style w:type="character" w:styleId="Strong">
    <w:name w:val="Strong"/>
    <w:basedOn w:val="DefaultParagraphFont"/>
    <w:uiPriority w:val="22"/>
    <w:qFormat/>
    <w:rsid w:val="005F19C6"/>
    <w:rPr>
      <w:b/>
      <w:bCs/>
    </w:rPr>
  </w:style>
  <w:style w:type="paragraph" w:styleId="Revision">
    <w:name w:val="Revision"/>
    <w:hidden/>
    <w:uiPriority w:val="99"/>
    <w:semiHidden/>
    <w:rsid w:val="00550CD0"/>
    <w:pPr>
      <w:spacing w:after="0" w:line="240" w:lineRule="auto"/>
    </w:pPr>
  </w:style>
  <w:style w:type="character" w:styleId="findhit" w:customStyle="1">
    <w:name w:val="findhit"/>
    <w:basedOn w:val="DefaultParagraphFont"/>
    <w:rsid w:val="00060D00"/>
  </w:style>
  <w:style w:type="paragraph" w:styleId="paragraph" w:customStyle="1">
    <w:name w:val="paragraph"/>
    <w:basedOn w:val="Normal"/>
    <w:rsid w:val="00C23F0F"/>
    <w:pPr>
      <w:spacing w:before="100" w:beforeAutospacing="1" w:after="100" w:afterAutospacing="1" w:line="240" w:lineRule="auto"/>
      <w:jc w:val="left"/>
    </w:pPr>
    <w:rPr>
      <w:rFonts w:ascii="Times New Roman" w:hAnsi="Times New Roman" w:eastAsia="Times New Roman" w:cs="Times New Roman"/>
      <w:sz w:val="24"/>
      <w:szCs w:val="24"/>
      <w:lang w:eastAsia="en-GB"/>
    </w:rPr>
  </w:style>
  <w:style w:type="character" w:styleId="superscript" w:customStyle="1">
    <w:name w:val="superscript"/>
    <w:basedOn w:val="DefaultParagraphFont"/>
    <w:rsid w:val="00C23F0F"/>
  </w:style>
  <w:style w:type="table" w:styleId="TableGridLight">
    <w:name w:val="Grid Table Light"/>
    <w:basedOn w:val="TableNormal"/>
    <w:uiPriority w:val="40"/>
    <w:rsid w:val="0035605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1Light-Accent1">
    <w:name w:val="Grid Table 1 Light Accent 1"/>
    <w:basedOn w:val="TableNormal"/>
    <w:uiPriority w:val="46"/>
    <w:rsid w:val="00C92F1F"/>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paragraph" w:styleId="BCNormalparanums" w:customStyle="1">
    <w:name w:val="BC Normal (para nums)"/>
    <w:basedOn w:val="Normal"/>
    <w:link w:val="BCNormalparanumsChar"/>
    <w:uiPriority w:val="1"/>
    <w:qFormat/>
    <w:rsid w:val="7FBCB512"/>
    <w:pPr>
      <w:numPr>
        <w:numId w:val="15"/>
      </w:numPr>
      <w:spacing w:after="160"/>
    </w:pPr>
    <w:rPr>
      <w:rFonts w:ascii="Arial" w:hAnsi="Arial" w:eastAsia="Arial"/>
    </w:rPr>
  </w:style>
  <w:style w:type="character" w:styleId="BCNormalparanumsChar" w:customStyle="1">
    <w:name w:val="BC Normal (para nums) Char"/>
    <w:basedOn w:val="DefaultParagraphFont"/>
    <w:link w:val="BCNormalparanums"/>
    <w:uiPriority w:val="1"/>
    <w:rsid w:val="7FBCB512"/>
    <w:rPr>
      <w:rFonts w:ascii="Arial" w:hAnsi="Arial" w:eastAsia="Arial"/>
    </w:rPr>
  </w:style>
  <w:style w:type="paragraph" w:styleId="NormalWeb">
    <w:name w:val="Normal (Web)"/>
    <w:basedOn w:val="Normal"/>
    <w:uiPriority w:val="99"/>
    <w:unhideWhenUsed/>
    <w:rsid w:val="00835775"/>
    <w:pPr>
      <w:spacing w:before="100" w:beforeAutospacing="1" w:after="100" w:afterAutospacing="1" w:line="240" w:lineRule="auto"/>
      <w:jc w:val="left"/>
    </w:pPr>
    <w:rPr>
      <w:rFonts w:ascii="Calibri" w:hAnsi="Calibri" w:eastAsia="Times New Roman" w:cs="Calibri"/>
      <w:lang w:eastAsia="en-GB"/>
    </w:rPr>
  </w:style>
  <w:style w:type="character" w:styleId="cf01" w:customStyle="1">
    <w:name w:val="cf01"/>
    <w:basedOn w:val="DefaultParagraphFont"/>
    <w:rsid w:val="00835775"/>
    <w:rPr>
      <w:rFonts w:hint="default" w:ascii="Calibri" w:hAnsi="Calibri" w:cs="Calibri"/>
      <w:sz w:val="22"/>
      <w:szCs w:val="22"/>
    </w:rPr>
  </w:style>
  <w:style w:type="character" w:styleId="contentpasted0" w:customStyle="1">
    <w:name w:val="contentpasted0"/>
    <w:basedOn w:val="DefaultParagraphFont"/>
    <w:rsid w:val="00610209"/>
  </w:style>
  <w:style w:type="character" w:styleId="apple-converted-space" w:customStyle="1">
    <w:name w:val="apple-converted-space"/>
    <w:basedOn w:val="DefaultParagraphFont"/>
    <w:rsid w:val="00610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81250">
      <w:bodyDiv w:val="1"/>
      <w:marLeft w:val="0"/>
      <w:marRight w:val="0"/>
      <w:marTop w:val="0"/>
      <w:marBottom w:val="0"/>
      <w:divBdr>
        <w:top w:val="none" w:sz="0" w:space="0" w:color="auto"/>
        <w:left w:val="none" w:sz="0" w:space="0" w:color="auto"/>
        <w:bottom w:val="none" w:sz="0" w:space="0" w:color="auto"/>
        <w:right w:val="none" w:sz="0" w:space="0" w:color="auto"/>
      </w:divBdr>
    </w:div>
    <w:div w:id="192425838">
      <w:bodyDiv w:val="1"/>
      <w:marLeft w:val="0"/>
      <w:marRight w:val="0"/>
      <w:marTop w:val="0"/>
      <w:marBottom w:val="0"/>
      <w:divBdr>
        <w:top w:val="none" w:sz="0" w:space="0" w:color="auto"/>
        <w:left w:val="none" w:sz="0" w:space="0" w:color="auto"/>
        <w:bottom w:val="none" w:sz="0" w:space="0" w:color="auto"/>
        <w:right w:val="none" w:sz="0" w:space="0" w:color="auto"/>
      </w:divBdr>
    </w:div>
    <w:div w:id="361440632">
      <w:bodyDiv w:val="1"/>
      <w:marLeft w:val="0"/>
      <w:marRight w:val="0"/>
      <w:marTop w:val="0"/>
      <w:marBottom w:val="0"/>
      <w:divBdr>
        <w:top w:val="none" w:sz="0" w:space="0" w:color="auto"/>
        <w:left w:val="none" w:sz="0" w:space="0" w:color="auto"/>
        <w:bottom w:val="none" w:sz="0" w:space="0" w:color="auto"/>
        <w:right w:val="none" w:sz="0" w:space="0" w:color="auto"/>
      </w:divBdr>
      <w:divsChild>
        <w:div w:id="1437552683">
          <w:marLeft w:val="0"/>
          <w:marRight w:val="0"/>
          <w:marTop w:val="0"/>
          <w:marBottom w:val="0"/>
          <w:divBdr>
            <w:top w:val="none" w:sz="0" w:space="0" w:color="auto"/>
            <w:left w:val="none" w:sz="0" w:space="0" w:color="auto"/>
            <w:bottom w:val="none" w:sz="0" w:space="0" w:color="auto"/>
            <w:right w:val="none" w:sz="0" w:space="0" w:color="auto"/>
          </w:divBdr>
        </w:div>
        <w:div w:id="1714958421">
          <w:marLeft w:val="0"/>
          <w:marRight w:val="0"/>
          <w:marTop w:val="0"/>
          <w:marBottom w:val="0"/>
          <w:divBdr>
            <w:top w:val="none" w:sz="0" w:space="0" w:color="auto"/>
            <w:left w:val="none" w:sz="0" w:space="0" w:color="auto"/>
            <w:bottom w:val="none" w:sz="0" w:space="0" w:color="auto"/>
            <w:right w:val="none" w:sz="0" w:space="0" w:color="auto"/>
          </w:divBdr>
        </w:div>
        <w:div w:id="1985118176">
          <w:marLeft w:val="0"/>
          <w:marRight w:val="0"/>
          <w:marTop w:val="0"/>
          <w:marBottom w:val="0"/>
          <w:divBdr>
            <w:top w:val="none" w:sz="0" w:space="0" w:color="auto"/>
            <w:left w:val="none" w:sz="0" w:space="0" w:color="auto"/>
            <w:bottom w:val="none" w:sz="0" w:space="0" w:color="auto"/>
            <w:right w:val="none" w:sz="0" w:space="0" w:color="auto"/>
          </w:divBdr>
        </w:div>
      </w:divsChild>
    </w:div>
    <w:div w:id="403844418">
      <w:bodyDiv w:val="1"/>
      <w:marLeft w:val="0"/>
      <w:marRight w:val="0"/>
      <w:marTop w:val="0"/>
      <w:marBottom w:val="0"/>
      <w:divBdr>
        <w:top w:val="none" w:sz="0" w:space="0" w:color="auto"/>
        <w:left w:val="none" w:sz="0" w:space="0" w:color="auto"/>
        <w:bottom w:val="none" w:sz="0" w:space="0" w:color="auto"/>
        <w:right w:val="none" w:sz="0" w:space="0" w:color="auto"/>
      </w:divBdr>
      <w:divsChild>
        <w:div w:id="1698310691">
          <w:marLeft w:val="0"/>
          <w:marRight w:val="0"/>
          <w:marTop w:val="0"/>
          <w:marBottom w:val="0"/>
          <w:divBdr>
            <w:top w:val="none" w:sz="0" w:space="0" w:color="auto"/>
            <w:left w:val="none" w:sz="0" w:space="0" w:color="auto"/>
            <w:bottom w:val="none" w:sz="0" w:space="0" w:color="auto"/>
            <w:right w:val="none" w:sz="0" w:space="0" w:color="auto"/>
          </w:divBdr>
        </w:div>
        <w:div w:id="1816795327">
          <w:marLeft w:val="0"/>
          <w:marRight w:val="0"/>
          <w:marTop w:val="0"/>
          <w:marBottom w:val="0"/>
          <w:divBdr>
            <w:top w:val="none" w:sz="0" w:space="0" w:color="auto"/>
            <w:left w:val="none" w:sz="0" w:space="0" w:color="auto"/>
            <w:bottom w:val="none" w:sz="0" w:space="0" w:color="auto"/>
            <w:right w:val="none" w:sz="0" w:space="0" w:color="auto"/>
          </w:divBdr>
        </w:div>
      </w:divsChild>
    </w:div>
    <w:div w:id="413942404">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sChild>
        <w:div w:id="244649791">
          <w:marLeft w:val="0"/>
          <w:marRight w:val="0"/>
          <w:marTop w:val="0"/>
          <w:marBottom w:val="0"/>
          <w:divBdr>
            <w:top w:val="none" w:sz="0" w:space="0" w:color="auto"/>
            <w:left w:val="none" w:sz="0" w:space="0" w:color="auto"/>
            <w:bottom w:val="none" w:sz="0" w:space="0" w:color="auto"/>
            <w:right w:val="none" w:sz="0" w:space="0" w:color="auto"/>
          </w:divBdr>
          <w:divsChild>
            <w:div w:id="1683967922">
              <w:marLeft w:val="0"/>
              <w:marRight w:val="0"/>
              <w:marTop w:val="0"/>
              <w:marBottom w:val="0"/>
              <w:divBdr>
                <w:top w:val="none" w:sz="0" w:space="0" w:color="auto"/>
                <w:left w:val="none" w:sz="0" w:space="0" w:color="auto"/>
                <w:bottom w:val="none" w:sz="0" w:space="0" w:color="auto"/>
                <w:right w:val="none" w:sz="0" w:space="0" w:color="auto"/>
              </w:divBdr>
            </w:div>
          </w:divsChild>
        </w:div>
        <w:div w:id="753749405">
          <w:marLeft w:val="0"/>
          <w:marRight w:val="0"/>
          <w:marTop w:val="0"/>
          <w:marBottom w:val="0"/>
          <w:divBdr>
            <w:top w:val="none" w:sz="0" w:space="0" w:color="auto"/>
            <w:left w:val="none" w:sz="0" w:space="0" w:color="auto"/>
            <w:bottom w:val="none" w:sz="0" w:space="0" w:color="auto"/>
            <w:right w:val="none" w:sz="0" w:space="0" w:color="auto"/>
          </w:divBdr>
          <w:divsChild>
            <w:div w:id="113444440">
              <w:marLeft w:val="0"/>
              <w:marRight w:val="0"/>
              <w:marTop w:val="0"/>
              <w:marBottom w:val="0"/>
              <w:divBdr>
                <w:top w:val="none" w:sz="0" w:space="0" w:color="auto"/>
                <w:left w:val="none" w:sz="0" w:space="0" w:color="auto"/>
                <w:bottom w:val="none" w:sz="0" w:space="0" w:color="auto"/>
                <w:right w:val="none" w:sz="0" w:space="0" w:color="auto"/>
              </w:divBdr>
            </w:div>
            <w:div w:id="1200896729">
              <w:marLeft w:val="0"/>
              <w:marRight w:val="0"/>
              <w:marTop w:val="0"/>
              <w:marBottom w:val="0"/>
              <w:divBdr>
                <w:top w:val="none" w:sz="0" w:space="0" w:color="auto"/>
                <w:left w:val="none" w:sz="0" w:space="0" w:color="auto"/>
                <w:bottom w:val="none" w:sz="0" w:space="0" w:color="auto"/>
                <w:right w:val="none" w:sz="0" w:space="0" w:color="auto"/>
              </w:divBdr>
            </w:div>
            <w:div w:id="1666588332">
              <w:marLeft w:val="0"/>
              <w:marRight w:val="0"/>
              <w:marTop w:val="0"/>
              <w:marBottom w:val="0"/>
              <w:divBdr>
                <w:top w:val="none" w:sz="0" w:space="0" w:color="auto"/>
                <w:left w:val="none" w:sz="0" w:space="0" w:color="auto"/>
                <w:bottom w:val="none" w:sz="0" w:space="0" w:color="auto"/>
                <w:right w:val="none" w:sz="0" w:space="0" w:color="auto"/>
              </w:divBdr>
            </w:div>
          </w:divsChild>
        </w:div>
        <w:div w:id="1183669531">
          <w:marLeft w:val="0"/>
          <w:marRight w:val="0"/>
          <w:marTop w:val="0"/>
          <w:marBottom w:val="0"/>
          <w:divBdr>
            <w:top w:val="none" w:sz="0" w:space="0" w:color="auto"/>
            <w:left w:val="none" w:sz="0" w:space="0" w:color="auto"/>
            <w:bottom w:val="none" w:sz="0" w:space="0" w:color="auto"/>
            <w:right w:val="none" w:sz="0" w:space="0" w:color="auto"/>
          </w:divBdr>
        </w:div>
      </w:divsChild>
    </w:div>
    <w:div w:id="735981343">
      <w:bodyDiv w:val="1"/>
      <w:marLeft w:val="0"/>
      <w:marRight w:val="0"/>
      <w:marTop w:val="0"/>
      <w:marBottom w:val="0"/>
      <w:divBdr>
        <w:top w:val="none" w:sz="0" w:space="0" w:color="auto"/>
        <w:left w:val="none" w:sz="0" w:space="0" w:color="auto"/>
        <w:bottom w:val="none" w:sz="0" w:space="0" w:color="auto"/>
        <w:right w:val="none" w:sz="0" w:space="0" w:color="auto"/>
      </w:divBdr>
    </w:div>
    <w:div w:id="775104062">
      <w:bodyDiv w:val="1"/>
      <w:marLeft w:val="0"/>
      <w:marRight w:val="0"/>
      <w:marTop w:val="0"/>
      <w:marBottom w:val="0"/>
      <w:divBdr>
        <w:top w:val="none" w:sz="0" w:space="0" w:color="auto"/>
        <w:left w:val="none" w:sz="0" w:space="0" w:color="auto"/>
        <w:bottom w:val="none" w:sz="0" w:space="0" w:color="auto"/>
        <w:right w:val="none" w:sz="0" w:space="0" w:color="auto"/>
      </w:divBdr>
    </w:div>
    <w:div w:id="821242048">
      <w:bodyDiv w:val="1"/>
      <w:marLeft w:val="0"/>
      <w:marRight w:val="0"/>
      <w:marTop w:val="0"/>
      <w:marBottom w:val="0"/>
      <w:divBdr>
        <w:top w:val="none" w:sz="0" w:space="0" w:color="auto"/>
        <w:left w:val="none" w:sz="0" w:space="0" w:color="auto"/>
        <w:bottom w:val="none" w:sz="0" w:space="0" w:color="auto"/>
        <w:right w:val="none" w:sz="0" w:space="0" w:color="auto"/>
      </w:divBdr>
    </w:div>
    <w:div w:id="925113483">
      <w:bodyDiv w:val="1"/>
      <w:marLeft w:val="0"/>
      <w:marRight w:val="0"/>
      <w:marTop w:val="0"/>
      <w:marBottom w:val="0"/>
      <w:divBdr>
        <w:top w:val="none" w:sz="0" w:space="0" w:color="auto"/>
        <w:left w:val="none" w:sz="0" w:space="0" w:color="auto"/>
        <w:bottom w:val="none" w:sz="0" w:space="0" w:color="auto"/>
        <w:right w:val="none" w:sz="0" w:space="0" w:color="auto"/>
      </w:divBdr>
    </w:div>
    <w:div w:id="1065296930">
      <w:bodyDiv w:val="1"/>
      <w:marLeft w:val="0"/>
      <w:marRight w:val="0"/>
      <w:marTop w:val="0"/>
      <w:marBottom w:val="0"/>
      <w:divBdr>
        <w:top w:val="none" w:sz="0" w:space="0" w:color="auto"/>
        <w:left w:val="none" w:sz="0" w:space="0" w:color="auto"/>
        <w:bottom w:val="none" w:sz="0" w:space="0" w:color="auto"/>
        <w:right w:val="none" w:sz="0" w:space="0" w:color="auto"/>
      </w:divBdr>
      <w:divsChild>
        <w:div w:id="58791077">
          <w:marLeft w:val="0"/>
          <w:marRight w:val="0"/>
          <w:marTop w:val="0"/>
          <w:marBottom w:val="120"/>
          <w:divBdr>
            <w:top w:val="none" w:sz="0" w:space="0" w:color="auto"/>
            <w:left w:val="none" w:sz="0" w:space="0" w:color="auto"/>
            <w:bottom w:val="none" w:sz="0" w:space="0" w:color="auto"/>
            <w:right w:val="none" w:sz="0" w:space="0" w:color="auto"/>
          </w:divBdr>
          <w:divsChild>
            <w:div w:id="863130613">
              <w:marLeft w:val="0"/>
              <w:marRight w:val="0"/>
              <w:marTop w:val="0"/>
              <w:marBottom w:val="0"/>
              <w:divBdr>
                <w:top w:val="none" w:sz="0" w:space="0" w:color="auto"/>
                <w:left w:val="none" w:sz="0" w:space="0" w:color="auto"/>
                <w:bottom w:val="none" w:sz="0" w:space="0" w:color="auto"/>
                <w:right w:val="none" w:sz="0" w:space="0" w:color="auto"/>
              </w:divBdr>
            </w:div>
          </w:divsChild>
        </w:div>
        <w:div w:id="1428619969">
          <w:marLeft w:val="0"/>
          <w:marRight w:val="0"/>
          <w:marTop w:val="0"/>
          <w:marBottom w:val="120"/>
          <w:divBdr>
            <w:top w:val="none" w:sz="0" w:space="0" w:color="auto"/>
            <w:left w:val="none" w:sz="0" w:space="0" w:color="auto"/>
            <w:bottom w:val="none" w:sz="0" w:space="0" w:color="auto"/>
            <w:right w:val="none" w:sz="0" w:space="0" w:color="auto"/>
          </w:divBdr>
          <w:divsChild>
            <w:div w:id="2311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9528">
      <w:bodyDiv w:val="1"/>
      <w:marLeft w:val="0"/>
      <w:marRight w:val="0"/>
      <w:marTop w:val="0"/>
      <w:marBottom w:val="0"/>
      <w:divBdr>
        <w:top w:val="none" w:sz="0" w:space="0" w:color="auto"/>
        <w:left w:val="none" w:sz="0" w:space="0" w:color="auto"/>
        <w:bottom w:val="none" w:sz="0" w:space="0" w:color="auto"/>
        <w:right w:val="none" w:sz="0" w:space="0" w:color="auto"/>
      </w:divBdr>
    </w:div>
    <w:div w:id="1571304420">
      <w:bodyDiv w:val="1"/>
      <w:marLeft w:val="0"/>
      <w:marRight w:val="0"/>
      <w:marTop w:val="0"/>
      <w:marBottom w:val="0"/>
      <w:divBdr>
        <w:top w:val="none" w:sz="0" w:space="0" w:color="auto"/>
        <w:left w:val="none" w:sz="0" w:space="0" w:color="auto"/>
        <w:bottom w:val="none" w:sz="0" w:space="0" w:color="auto"/>
        <w:right w:val="none" w:sz="0" w:space="0" w:color="auto"/>
      </w:divBdr>
      <w:divsChild>
        <w:div w:id="134877103">
          <w:marLeft w:val="0"/>
          <w:marRight w:val="0"/>
          <w:marTop w:val="0"/>
          <w:marBottom w:val="0"/>
          <w:divBdr>
            <w:top w:val="none" w:sz="0" w:space="0" w:color="auto"/>
            <w:left w:val="none" w:sz="0" w:space="0" w:color="auto"/>
            <w:bottom w:val="none" w:sz="0" w:space="0" w:color="auto"/>
            <w:right w:val="none" w:sz="0" w:space="0" w:color="auto"/>
          </w:divBdr>
          <w:divsChild>
            <w:div w:id="637691428">
              <w:marLeft w:val="0"/>
              <w:marRight w:val="0"/>
              <w:marTop w:val="0"/>
              <w:marBottom w:val="0"/>
              <w:divBdr>
                <w:top w:val="none" w:sz="0" w:space="0" w:color="auto"/>
                <w:left w:val="none" w:sz="0" w:space="0" w:color="auto"/>
                <w:bottom w:val="none" w:sz="0" w:space="0" w:color="auto"/>
                <w:right w:val="none" w:sz="0" w:space="0" w:color="auto"/>
              </w:divBdr>
            </w:div>
          </w:divsChild>
        </w:div>
        <w:div w:id="188877459">
          <w:marLeft w:val="0"/>
          <w:marRight w:val="0"/>
          <w:marTop w:val="0"/>
          <w:marBottom w:val="0"/>
          <w:divBdr>
            <w:top w:val="none" w:sz="0" w:space="0" w:color="auto"/>
            <w:left w:val="none" w:sz="0" w:space="0" w:color="auto"/>
            <w:bottom w:val="none" w:sz="0" w:space="0" w:color="auto"/>
            <w:right w:val="none" w:sz="0" w:space="0" w:color="auto"/>
          </w:divBdr>
          <w:divsChild>
            <w:div w:id="1492520834">
              <w:marLeft w:val="0"/>
              <w:marRight w:val="0"/>
              <w:marTop w:val="0"/>
              <w:marBottom w:val="0"/>
              <w:divBdr>
                <w:top w:val="none" w:sz="0" w:space="0" w:color="auto"/>
                <w:left w:val="none" w:sz="0" w:space="0" w:color="auto"/>
                <w:bottom w:val="none" w:sz="0" w:space="0" w:color="auto"/>
                <w:right w:val="none" w:sz="0" w:space="0" w:color="auto"/>
              </w:divBdr>
            </w:div>
          </w:divsChild>
        </w:div>
        <w:div w:id="191193241">
          <w:marLeft w:val="0"/>
          <w:marRight w:val="0"/>
          <w:marTop w:val="0"/>
          <w:marBottom w:val="0"/>
          <w:divBdr>
            <w:top w:val="none" w:sz="0" w:space="0" w:color="auto"/>
            <w:left w:val="none" w:sz="0" w:space="0" w:color="auto"/>
            <w:bottom w:val="none" w:sz="0" w:space="0" w:color="auto"/>
            <w:right w:val="none" w:sz="0" w:space="0" w:color="auto"/>
          </w:divBdr>
          <w:divsChild>
            <w:div w:id="1009483231">
              <w:marLeft w:val="0"/>
              <w:marRight w:val="0"/>
              <w:marTop w:val="0"/>
              <w:marBottom w:val="0"/>
              <w:divBdr>
                <w:top w:val="none" w:sz="0" w:space="0" w:color="auto"/>
                <w:left w:val="none" w:sz="0" w:space="0" w:color="auto"/>
                <w:bottom w:val="none" w:sz="0" w:space="0" w:color="auto"/>
                <w:right w:val="none" w:sz="0" w:space="0" w:color="auto"/>
              </w:divBdr>
            </w:div>
          </w:divsChild>
        </w:div>
        <w:div w:id="263003642">
          <w:marLeft w:val="0"/>
          <w:marRight w:val="0"/>
          <w:marTop w:val="0"/>
          <w:marBottom w:val="0"/>
          <w:divBdr>
            <w:top w:val="none" w:sz="0" w:space="0" w:color="auto"/>
            <w:left w:val="none" w:sz="0" w:space="0" w:color="auto"/>
            <w:bottom w:val="none" w:sz="0" w:space="0" w:color="auto"/>
            <w:right w:val="none" w:sz="0" w:space="0" w:color="auto"/>
          </w:divBdr>
          <w:divsChild>
            <w:div w:id="1161432602">
              <w:marLeft w:val="0"/>
              <w:marRight w:val="0"/>
              <w:marTop w:val="0"/>
              <w:marBottom w:val="0"/>
              <w:divBdr>
                <w:top w:val="none" w:sz="0" w:space="0" w:color="auto"/>
                <w:left w:val="none" w:sz="0" w:space="0" w:color="auto"/>
                <w:bottom w:val="none" w:sz="0" w:space="0" w:color="auto"/>
                <w:right w:val="none" w:sz="0" w:space="0" w:color="auto"/>
              </w:divBdr>
            </w:div>
          </w:divsChild>
        </w:div>
        <w:div w:id="263929216">
          <w:marLeft w:val="0"/>
          <w:marRight w:val="0"/>
          <w:marTop w:val="0"/>
          <w:marBottom w:val="0"/>
          <w:divBdr>
            <w:top w:val="none" w:sz="0" w:space="0" w:color="auto"/>
            <w:left w:val="none" w:sz="0" w:space="0" w:color="auto"/>
            <w:bottom w:val="none" w:sz="0" w:space="0" w:color="auto"/>
            <w:right w:val="none" w:sz="0" w:space="0" w:color="auto"/>
          </w:divBdr>
          <w:divsChild>
            <w:div w:id="35589778">
              <w:marLeft w:val="0"/>
              <w:marRight w:val="0"/>
              <w:marTop w:val="0"/>
              <w:marBottom w:val="0"/>
              <w:divBdr>
                <w:top w:val="none" w:sz="0" w:space="0" w:color="auto"/>
                <w:left w:val="none" w:sz="0" w:space="0" w:color="auto"/>
                <w:bottom w:val="none" w:sz="0" w:space="0" w:color="auto"/>
                <w:right w:val="none" w:sz="0" w:space="0" w:color="auto"/>
              </w:divBdr>
            </w:div>
          </w:divsChild>
        </w:div>
        <w:div w:id="491333234">
          <w:marLeft w:val="0"/>
          <w:marRight w:val="0"/>
          <w:marTop w:val="0"/>
          <w:marBottom w:val="0"/>
          <w:divBdr>
            <w:top w:val="none" w:sz="0" w:space="0" w:color="auto"/>
            <w:left w:val="none" w:sz="0" w:space="0" w:color="auto"/>
            <w:bottom w:val="none" w:sz="0" w:space="0" w:color="auto"/>
            <w:right w:val="none" w:sz="0" w:space="0" w:color="auto"/>
          </w:divBdr>
          <w:divsChild>
            <w:div w:id="818577021">
              <w:marLeft w:val="0"/>
              <w:marRight w:val="0"/>
              <w:marTop w:val="0"/>
              <w:marBottom w:val="0"/>
              <w:divBdr>
                <w:top w:val="none" w:sz="0" w:space="0" w:color="auto"/>
                <w:left w:val="none" w:sz="0" w:space="0" w:color="auto"/>
                <w:bottom w:val="none" w:sz="0" w:space="0" w:color="auto"/>
                <w:right w:val="none" w:sz="0" w:space="0" w:color="auto"/>
              </w:divBdr>
            </w:div>
          </w:divsChild>
        </w:div>
        <w:div w:id="531962244">
          <w:marLeft w:val="0"/>
          <w:marRight w:val="0"/>
          <w:marTop w:val="0"/>
          <w:marBottom w:val="0"/>
          <w:divBdr>
            <w:top w:val="none" w:sz="0" w:space="0" w:color="auto"/>
            <w:left w:val="none" w:sz="0" w:space="0" w:color="auto"/>
            <w:bottom w:val="none" w:sz="0" w:space="0" w:color="auto"/>
            <w:right w:val="none" w:sz="0" w:space="0" w:color="auto"/>
          </w:divBdr>
          <w:divsChild>
            <w:div w:id="2038505411">
              <w:marLeft w:val="0"/>
              <w:marRight w:val="0"/>
              <w:marTop w:val="0"/>
              <w:marBottom w:val="0"/>
              <w:divBdr>
                <w:top w:val="none" w:sz="0" w:space="0" w:color="auto"/>
                <w:left w:val="none" w:sz="0" w:space="0" w:color="auto"/>
                <w:bottom w:val="none" w:sz="0" w:space="0" w:color="auto"/>
                <w:right w:val="none" w:sz="0" w:space="0" w:color="auto"/>
              </w:divBdr>
            </w:div>
          </w:divsChild>
        </w:div>
        <w:div w:id="601569155">
          <w:marLeft w:val="0"/>
          <w:marRight w:val="0"/>
          <w:marTop w:val="0"/>
          <w:marBottom w:val="0"/>
          <w:divBdr>
            <w:top w:val="none" w:sz="0" w:space="0" w:color="auto"/>
            <w:left w:val="none" w:sz="0" w:space="0" w:color="auto"/>
            <w:bottom w:val="none" w:sz="0" w:space="0" w:color="auto"/>
            <w:right w:val="none" w:sz="0" w:space="0" w:color="auto"/>
          </w:divBdr>
          <w:divsChild>
            <w:div w:id="1219509603">
              <w:marLeft w:val="0"/>
              <w:marRight w:val="0"/>
              <w:marTop w:val="0"/>
              <w:marBottom w:val="0"/>
              <w:divBdr>
                <w:top w:val="none" w:sz="0" w:space="0" w:color="auto"/>
                <w:left w:val="none" w:sz="0" w:space="0" w:color="auto"/>
                <w:bottom w:val="none" w:sz="0" w:space="0" w:color="auto"/>
                <w:right w:val="none" w:sz="0" w:space="0" w:color="auto"/>
              </w:divBdr>
            </w:div>
          </w:divsChild>
        </w:div>
        <w:div w:id="648168447">
          <w:marLeft w:val="0"/>
          <w:marRight w:val="0"/>
          <w:marTop w:val="0"/>
          <w:marBottom w:val="0"/>
          <w:divBdr>
            <w:top w:val="none" w:sz="0" w:space="0" w:color="auto"/>
            <w:left w:val="none" w:sz="0" w:space="0" w:color="auto"/>
            <w:bottom w:val="none" w:sz="0" w:space="0" w:color="auto"/>
            <w:right w:val="none" w:sz="0" w:space="0" w:color="auto"/>
          </w:divBdr>
          <w:divsChild>
            <w:div w:id="1753088555">
              <w:marLeft w:val="0"/>
              <w:marRight w:val="0"/>
              <w:marTop w:val="0"/>
              <w:marBottom w:val="0"/>
              <w:divBdr>
                <w:top w:val="none" w:sz="0" w:space="0" w:color="auto"/>
                <w:left w:val="none" w:sz="0" w:space="0" w:color="auto"/>
                <w:bottom w:val="none" w:sz="0" w:space="0" w:color="auto"/>
                <w:right w:val="none" w:sz="0" w:space="0" w:color="auto"/>
              </w:divBdr>
            </w:div>
          </w:divsChild>
        </w:div>
        <w:div w:id="869535919">
          <w:marLeft w:val="0"/>
          <w:marRight w:val="0"/>
          <w:marTop w:val="0"/>
          <w:marBottom w:val="0"/>
          <w:divBdr>
            <w:top w:val="none" w:sz="0" w:space="0" w:color="auto"/>
            <w:left w:val="none" w:sz="0" w:space="0" w:color="auto"/>
            <w:bottom w:val="none" w:sz="0" w:space="0" w:color="auto"/>
            <w:right w:val="none" w:sz="0" w:space="0" w:color="auto"/>
          </w:divBdr>
          <w:divsChild>
            <w:div w:id="1133869726">
              <w:marLeft w:val="0"/>
              <w:marRight w:val="0"/>
              <w:marTop w:val="0"/>
              <w:marBottom w:val="0"/>
              <w:divBdr>
                <w:top w:val="none" w:sz="0" w:space="0" w:color="auto"/>
                <w:left w:val="none" w:sz="0" w:space="0" w:color="auto"/>
                <w:bottom w:val="none" w:sz="0" w:space="0" w:color="auto"/>
                <w:right w:val="none" w:sz="0" w:space="0" w:color="auto"/>
              </w:divBdr>
            </w:div>
          </w:divsChild>
        </w:div>
        <w:div w:id="956370530">
          <w:marLeft w:val="0"/>
          <w:marRight w:val="0"/>
          <w:marTop w:val="0"/>
          <w:marBottom w:val="0"/>
          <w:divBdr>
            <w:top w:val="none" w:sz="0" w:space="0" w:color="auto"/>
            <w:left w:val="none" w:sz="0" w:space="0" w:color="auto"/>
            <w:bottom w:val="none" w:sz="0" w:space="0" w:color="auto"/>
            <w:right w:val="none" w:sz="0" w:space="0" w:color="auto"/>
          </w:divBdr>
          <w:divsChild>
            <w:div w:id="341206792">
              <w:marLeft w:val="0"/>
              <w:marRight w:val="0"/>
              <w:marTop w:val="0"/>
              <w:marBottom w:val="0"/>
              <w:divBdr>
                <w:top w:val="none" w:sz="0" w:space="0" w:color="auto"/>
                <w:left w:val="none" w:sz="0" w:space="0" w:color="auto"/>
                <w:bottom w:val="none" w:sz="0" w:space="0" w:color="auto"/>
                <w:right w:val="none" w:sz="0" w:space="0" w:color="auto"/>
              </w:divBdr>
            </w:div>
          </w:divsChild>
        </w:div>
        <w:div w:id="966082332">
          <w:marLeft w:val="0"/>
          <w:marRight w:val="0"/>
          <w:marTop w:val="0"/>
          <w:marBottom w:val="0"/>
          <w:divBdr>
            <w:top w:val="none" w:sz="0" w:space="0" w:color="auto"/>
            <w:left w:val="none" w:sz="0" w:space="0" w:color="auto"/>
            <w:bottom w:val="none" w:sz="0" w:space="0" w:color="auto"/>
            <w:right w:val="none" w:sz="0" w:space="0" w:color="auto"/>
          </w:divBdr>
          <w:divsChild>
            <w:div w:id="1955476498">
              <w:marLeft w:val="0"/>
              <w:marRight w:val="0"/>
              <w:marTop w:val="0"/>
              <w:marBottom w:val="0"/>
              <w:divBdr>
                <w:top w:val="none" w:sz="0" w:space="0" w:color="auto"/>
                <w:left w:val="none" w:sz="0" w:space="0" w:color="auto"/>
                <w:bottom w:val="none" w:sz="0" w:space="0" w:color="auto"/>
                <w:right w:val="none" w:sz="0" w:space="0" w:color="auto"/>
              </w:divBdr>
            </w:div>
          </w:divsChild>
        </w:div>
        <w:div w:id="978847448">
          <w:marLeft w:val="0"/>
          <w:marRight w:val="0"/>
          <w:marTop w:val="0"/>
          <w:marBottom w:val="0"/>
          <w:divBdr>
            <w:top w:val="none" w:sz="0" w:space="0" w:color="auto"/>
            <w:left w:val="none" w:sz="0" w:space="0" w:color="auto"/>
            <w:bottom w:val="none" w:sz="0" w:space="0" w:color="auto"/>
            <w:right w:val="none" w:sz="0" w:space="0" w:color="auto"/>
          </w:divBdr>
          <w:divsChild>
            <w:div w:id="1505047377">
              <w:marLeft w:val="0"/>
              <w:marRight w:val="0"/>
              <w:marTop w:val="0"/>
              <w:marBottom w:val="0"/>
              <w:divBdr>
                <w:top w:val="none" w:sz="0" w:space="0" w:color="auto"/>
                <w:left w:val="none" w:sz="0" w:space="0" w:color="auto"/>
                <w:bottom w:val="none" w:sz="0" w:space="0" w:color="auto"/>
                <w:right w:val="none" w:sz="0" w:space="0" w:color="auto"/>
              </w:divBdr>
            </w:div>
          </w:divsChild>
        </w:div>
        <w:div w:id="988901691">
          <w:marLeft w:val="0"/>
          <w:marRight w:val="0"/>
          <w:marTop w:val="0"/>
          <w:marBottom w:val="0"/>
          <w:divBdr>
            <w:top w:val="none" w:sz="0" w:space="0" w:color="auto"/>
            <w:left w:val="none" w:sz="0" w:space="0" w:color="auto"/>
            <w:bottom w:val="none" w:sz="0" w:space="0" w:color="auto"/>
            <w:right w:val="none" w:sz="0" w:space="0" w:color="auto"/>
          </w:divBdr>
          <w:divsChild>
            <w:div w:id="886993015">
              <w:marLeft w:val="0"/>
              <w:marRight w:val="0"/>
              <w:marTop w:val="0"/>
              <w:marBottom w:val="0"/>
              <w:divBdr>
                <w:top w:val="none" w:sz="0" w:space="0" w:color="auto"/>
                <w:left w:val="none" w:sz="0" w:space="0" w:color="auto"/>
                <w:bottom w:val="none" w:sz="0" w:space="0" w:color="auto"/>
                <w:right w:val="none" w:sz="0" w:space="0" w:color="auto"/>
              </w:divBdr>
            </w:div>
          </w:divsChild>
        </w:div>
        <w:div w:id="1194804398">
          <w:marLeft w:val="0"/>
          <w:marRight w:val="0"/>
          <w:marTop w:val="0"/>
          <w:marBottom w:val="0"/>
          <w:divBdr>
            <w:top w:val="none" w:sz="0" w:space="0" w:color="auto"/>
            <w:left w:val="none" w:sz="0" w:space="0" w:color="auto"/>
            <w:bottom w:val="none" w:sz="0" w:space="0" w:color="auto"/>
            <w:right w:val="none" w:sz="0" w:space="0" w:color="auto"/>
          </w:divBdr>
          <w:divsChild>
            <w:div w:id="1382637393">
              <w:marLeft w:val="0"/>
              <w:marRight w:val="0"/>
              <w:marTop w:val="0"/>
              <w:marBottom w:val="0"/>
              <w:divBdr>
                <w:top w:val="none" w:sz="0" w:space="0" w:color="auto"/>
                <w:left w:val="none" w:sz="0" w:space="0" w:color="auto"/>
                <w:bottom w:val="none" w:sz="0" w:space="0" w:color="auto"/>
                <w:right w:val="none" w:sz="0" w:space="0" w:color="auto"/>
              </w:divBdr>
            </w:div>
          </w:divsChild>
        </w:div>
        <w:div w:id="1202323660">
          <w:marLeft w:val="0"/>
          <w:marRight w:val="0"/>
          <w:marTop w:val="0"/>
          <w:marBottom w:val="0"/>
          <w:divBdr>
            <w:top w:val="none" w:sz="0" w:space="0" w:color="auto"/>
            <w:left w:val="none" w:sz="0" w:space="0" w:color="auto"/>
            <w:bottom w:val="none" w:sz="0" w:space="0" w:color="auto"/>
            <w:right w:val="none" w:sz="0" w:space="0" w:color="auto"/>
          </w:divBdr>
          <w:divsChild>
            <w:div w:id="1859460987">
              <w:marLeft w:val="0"/>
              <w:marRight w:val="0"/>
              <w:marTop w:val="0"/>
              <w:marBottom w:val="0"/>
              <w:divBdr>
                <w:top w:val="none" w:sz="0" w:space="0" w:color="auto"/>
                <w:left w:val="none" w:sz="0" w:space="0" w:color="auto"/>
                <w:bottom w:val="none" w:sz="0" w:space="0" w:color="auto"/>
                <w:right w:val="none" w:sz="0" w:space="0" w:color="auto"/>
              </w:divBdr>
            </w:div>
          </w:divsChild>
        </w:div>
        <w:div w:id="1303732685">
          <w:marLeft w:val="0"/>
          <w:marRight w:val="0"/>
          <w:marTop w:val="0"/>
          <w:marBottom w:val="0"/>
          <w:divBdr>
            <w:top w:val="none" w:sz="0" w:space="0" w:color="auto"/>
            <w:left w:val="none" w:sz="0" w:space="0" w:color="auto"/>
            <w:bottom w:val="none" w:sz="0" w:space="0" w:color="auto"/>
            <w:right w:val="none" w:sz="0" w:space="0" w:color="auto"/>
          </w:divBdr>
          <w:divsChild>
            <w:div w:id="751321431">
              <w:marLeft w:val="0"/>
              <w:marRight w:val="0"/>
              <w:marTop w:val="0"/>
              <w:marBottom w:val="0"/>
              <w:divBdr>
                <w:top w:val="none" w:sz="0" w:space="0" w:color="auto"/>
                <w:left w:val="none" w:sz="0" w:space="0" w:color="auto"/>
                <w:bottom w:val="none" w:sz="0" w:space="0" w:color="auto"/>
                <w:right w:val="none" w:sz="0" w:space="0" w:color="auto"/>
              </w:divBdr>
            </w:div>
          </w:divsChild>
        </w:div>
        <w:div w:id="1408187111">
          <w:marLeft w:val="0"/>
          <w:marRight w:val="0"/>
          <w:marTop w:val="0"/>
          <w:marBottom w:val="0"/>
          <w:divBdr>
            <w:top w:val="none" w:sz="0" w:space="0" w:color="auto"/>
            <w:left w:val="none" w:sz="0" w:space="0" w:color="auto"/>
            <w:bottom w:val="none" w:sz="0" w:space="0" w:color="auto"/>
            <w:right w:val="none" w:sz="0" w:space="0" w:color="auto"/>
          </w:divBdr>
          <w:divsChild>
            <w:div w:id="1126850942">
              <w:marLeft w:val="0"/>
              <w:marRight w:val="0"/>
              <w:marTop w:val="0"/>
              <w:marBottom w:val="0"/>
              <w:divBdr>
                <w:top w:val="none" w:sz="0" w:space="0" w:color="auto"/>
                <w:left w:val="none" w:sz="0" w:space="0" w:color="auto"/>
                <w:bottom w:val="none" w:sz="0" w:space="0" w:color="auto"/>
                <w:right w:val="none" w:sz="0" w:space="0" w:color="auto"/>
              </w:divBdr>
            </w:div>
          </w:divsChild>
        </w:div>
        <w:div w:id="1473596737">
          <w:marLeft w:val="0"/>
          <w:marRight w:val="0"/>
          <w:marTop w:val="0"/>
          <w:marBottom w:val="0"/>
          <w:divBdr>
            <w:top w:val="none" w:sz="0" w:space="0" w:color="auto"/>
            <w:left w:val="none" w:sz="0" w:space="0" w:color="auto"/>
            <w:bottom w:val="none" w:sz="0" w:space="0" w:color="auto"/>
            <w:right w:val="none" w:sz="0" w:space="0" w:color="auto"/>
          </w:divBdr>
          <w:divsChild>
            <w:div w:id="1903829604">
              <w:marLeft w:val="0"/>
              <w:marRight w:val="0"/>
              <w:marTop w:val="0"/>
              <w:marBottom w:val="0"/>
              <w:divBdr>
                <w:top w:val="none" w:sz="0" w:space="0" w:color="auto"/>
                <w:left w:val="none" w:sz="0" w:space="0" w:color="auto"/>
                <w:bottom w:val="none" w:sz="0" w:space="0" w:color="auto"/>
                <w:right w:val="none" w:sz="0" w:space="0" w:color="auto"/>
              </w:divBdr>
            </w:div>
          </w:divsChild>
        </w:div>
        <w:div w:id="1491171861">
          <w:marLeft w:val="0"/>
          <w:marRight w:val="0"/>
          <w:marTop w:val="0"/>
          <w:marBottom w:val="0"/>
          <w:divBdr>
            <w:top w:val="none" w:sz="0" w:space="0" w:color="auto"/>
            <w:left w:val="none" w:sz="0" w:space="0" w:color="auto"/>
            <w:bottom w:val="none" w:sz="0" w:space="0" w:color="auto"/>
            <w:right w:val="none" w:sz="0" w:space="0" w:color="auto"/>
          </w:divBdr>
          <w:divsChild>
            <w:div w:id="218590545">
              <w:marLeft w:val="0"/>
              <w:marRight w:val="0"/>
              <w:marTop w:val="0"/>
              <w:marBottom w:val="0"/>
              <w:divBdr>
                <w:top w:val="none" w:sz="0" w:space="0" w:color="auto"/>
                <w:left w:val="none" w:sz="0" w:space="0" w:color="auto"/>
                <w:bottom w:val="none" w:sz="0" w:space="0" w:color="auto"/>
                <w:right w:val="none" w:sz="0" w:space="0" w:color="auto"/>
              </w:divBdr>
            </w:div>
            <w:div w:id="734429063">
              <w:marLeft w:val="0"/>
              <w:marRight w:val="0"/>
              <w:marTop w:val="0"/>
              <w:marBottom w:val="0"/>
              <w:divBdr>
                <w:top w:val="none" w:sz="0" w:space="0" w:color="auto"/>
                <w:left w:val="none" w:sz="0" w:space="0" w:color="auto"/>
                <w:bottom w:val="none" w:sz="0" w:space="0" w:color="auto"/>
                <w:right w:val="none" w:sz="0" w:space="0" w:color="auto"/>
              </w:divBdr>
            </w:div>
          </w:divsChild>
        </w:div>
        <w:div w:id="1496191693">
          <w:marLeft w:val="0"/>
          <w:marRight w:val="0"/>
          <w:marTop w:val="0"/>
          <w:marBottom w:val="0"/>
          <w:divBdr>
            <w:top w:val="none" w:sz="0" w:space="0" w:color="auto"/>
            <w:left w:val="none" w:sz="0" w:space="0" w:color="auto"/>
            <w:bottom w:val="none" w:sz="0" w:space="0" w:color="auto"/>
            <w:right w:val="none" w:sz="0" w:space="0" w:color="auto"/>
          </w:divBdr>
          <w:divsChild>
            <w:div w:id="304437864">
              <w:marLeft w:val="0"/>
              <w:marRight w:val="0"/>
              <w:marTop w:val="0"/>
              <w:marBottom w:val="0"/>
              <w:divBdr>
                <w:top w:val="none" w:sz="0" w:space="0" w:color="auto"/>
                <w:left w:val="none" w:sz="0" w:space="0" w:color="auto"/>
                <w:bottom w:val="none" w:sz="0" w:space="0" w:color="auto"/>
                <w:right w:val="none" w:sz="0" w:space="0" w:color="auto"/>
              </w:divBdr>
            </w:div>
          </w:divsChild>
        </w:div>
        <w:div w:id="1607618907">
          <w:marLeft w:val="0"/>
          <w:marRight w:val="0"/>
          <w:marTop w:val="0"/>
          <w:marBottom w:val="0"/>
          <w:divBdr>
            <w:top w:val="none" w:sz="0" w:space="0" w:color="auto"/>
            <w:left w:val="none" w:sz="0" w:space="0" w:color="auto"/>
            <w:bottom w:val="none" w:sz="0" w:space="0" w:color="auto"/>
            <w:right w:val="none" w:sz="0" w:space="0" w:color="auto"/>
          </w:divBdr>
          <w:divsChild>
            <w:div w:id="381831169">
              <w:marLeft w:val="0"/>
              <w:marRight w:val="0"/>
              <w:marTop w:val="0"/>
              <w:marBottom w:val="0"/>
              <w:divBdr>
                <w:top w:val="none" w:sz="0" w:space="0" w:color="auto"/>
                <w:left w:val="none" w:sz="0" w:space="0" w:color="auto"/>
                <w:bottom w:val="none" w:sz="0" w:space="0" w:color="auto"/>
                <w:right w:val="none" w:sz="0" w:space="0" w:color="auto"/>
              </w:divBdr>
            </w:div>
          </w:divsChild>
        </w:div>
        <w:div w:id="1657562720">
          <w:marLeft w:val="0"/>
          <w:marRight w:val="0"/>
          <w:marTop w:val="0"/>
          <w:marBottom w:val="0"/>
          <w:divBdr>
            <w:top w:val="none" w:sz="0" w:space="0" w:color="auto"/>
            <w:left w:val="none" w:sz="0" w:space="0" w:color="auto"/>
            <w:bottom w:val="none" w:sz="0" w:space="0" w:color="auto"/>
            <w:right w:val="none" w:sz="0" w:space="0" w:color="auto"/>
          </w:divBdr>
          <w:divsChild>
            <w:div w:id="781726806">
              <w:marLeft w:val="0"/>
              <w:marRight w:val="0"/>
              <w:marTop w:val="0"/>
              <w:marBottom w:val="0"/>
              <w:divBdr>
                <w:top w:val="none" w:sz="0" w:space="0" w:color="auto"/>
                <w:left w:val="none" w:sz="0" w:space="0" w:color="auto"/>
                <w:bottom w:val="none" w:sz="0" w:space="0" w:color="auto"/>
                <w:right w:val="none" w:sz="0" w:space="0" w:color="auto"/>
              </w:divBdr>
            </w:div>
          </w:divsChild>
        </w:div>
        <w:div w:id="1736471492">
          <w:marLeft w:val="0"/>
          <w:marRight w:val="0"/>
          <w:marTop w:val="0"/>
          <w:marBottom w:val="0"/>
          <w:divBdr>
            <w:top w:val="none" w:sz="0" w:space="0" w:color="auto"/>
            <w:left w:val="none" w:sz="0" w:space="0" w:color="auto"/>
            <w:bottom w:val="none" w:sz="0" w:space="0" w:color="auto"/>
            <w:right w:val="none" w:sz="0" w:space="0" w:color="auto"/>
          </w:divBdr>
          <w:divsChild>
            <w:div w:id="2019232091">
              <w:marLeft w:val="0"/>
              <w:marRight w:val="0"/>
              <w:marTop w:val="0"/>
              <w:marBottom w:val="0"/>
              <w:divBdr>
                <w:top w:val="none" w:sz="0" w:space="0" w:color="auto"/>
                <w:left w:val="none" w:sz="0" w:space="0" w:color="auto"/>
                <w:bottom w:val="none" w:sz="0" w:space="0" w:color="auto"/>
                <w:right w:val="none" w:sz="0" w:space="0" w:color="auto"/>
              </w:divBdr>
            </w:div>
          </w:divsChild>
        </w:div>
        <w:div w:id="1738018373">
          <w:marLeft w:val="0"/>
          <w:marRight w:val="0"/>
          <w:marTop w:val="0"/>
          <w:marBottom w:val="0"/>
          <w:divBdr>
            <w:top w:val="none" w:sz="0" w:space="0" w:color="auto"/>
            <w:left w:val="none" w:sz="0" w:space="0" w:color="auto"/>
            <w:bottom w:val="none" w:sz="0" w:space="0" w:color="auto"/>
            <w:right w:val="none" w:sz="0" w:space="0" w:color="auto"/>
          </w:divBdr>
          <w:divsChild>
            <w:div w:id="956135695">
              <w:marLeft w:val="0"/>
              <w:marRight w:val="0"/>
              <w:marTop w:val="0"/>
              <w:marBottom w:val="0"/>
              <w:divBdr>
                <w:top w:val="none" w:sz="0" w:space="0" w:color="auto"/>
                <w:left w:val="none" w:sz="0" w:space="0" w:color="auto"/>
                <w:bottom w:val="none" w:sz="0" w:space="0" w:color="auto"/>
                <w:right w:val="none" w:sz="0" w:space="0" w:color="auto"/>
              </w:divBdr>
            </w:div>
          </w:divsChild>
        </w:div>
        <w:div w:id="1799298780">
          <w:marLeft w:val="0"/>
          <w:marRight w:val="0"/>
          <w:marTop w:val="0"/>
          <w:marBottom w:val="0"/>
          <w:divBdr>
            <w:top w:val="none" w:sz="0" w:space="0" w:color="auto"/>
            <w:left w:val="none" w:sz="0" w:space="0" w:color="auto"/>
            <w:bottom w:val="none" w:sz="0" w:space="0" w:color="auto"/>
            <w:right w:val="none" w:sz="0" w:space="0" w:color="auto"/>
          </w:divBdr>
          <w:divsChild>
            <w:div w:id="730925867">
              <w:marLeft w:val="0"/>
              <w:marRight w:val="0"/>
              <w:marTop w:val="0"/>
              <w:marBottom w:val="0"/>
              <w:divBdr>
                <w:top w:val="none" w:sz="0" w:space="0" w:color="auto"/>
                <w:left w:val="none" w:sz="0" w:space="0" w:color="auto"/>
                <w:bottom w:val="none" w:sz="0" w:space="0" w:color="auto"/>
                <w:right w:val="none" w:sz="0" w:space="0" w:color="auto"/>
              </w:divBdr>
            </w:div>
          </w:divsChild>
        </w:div>
        <w:div w:id="1800369092">
          <w:marLeft w:val="0"/>
          <w:marRight w:val="0"/>
          <w:marTop w:val="0"/>
          <w:marBottom w:val="0"/>
          <w:divBdr>
            <w:top w:val="none" w:sz="0" w:space="0" w:color="auto"/>
            <w:left w:val="none" w:sz="0" w:space="0" w:color="auto"/>
            <w:bottom w:val="none" w:sz="0" w:space="0" w:color="auto"/>
            <w:right w:val="none" w:sz="0" w:space="0" w:color="auto"/>
          </w:divBdr>
          <w:divsChild>
            <w:div w:id="721490578">
              <w:marLeft w:val="0"/>
              <w:marRight w:val="0"/>
              <w:marTop w:val="0"/>
              <w:marBottom w:val="0"/>
              <w:divBdr>
                <w:top w:val="none" w:sz="0" w:space="0" w:color="auto"/>
                <w:left w:val="none" w:sz="0" w:space="0" w:color="auto"/>
                <w:bottom w:val="none" w:sz="0" w:space="0" w:color="auto"/>
                <w:right w:val="none" w:sz="0" w:space="0" w:color="auto"/>
              </w:divBdr>
            </w:div>
          </w:divsChild>
        </w:div>
        <w:div w:id="1839342984">
          <w:marLeft w:val="0"/>
          <w:marRight w:val="0"/>
          <w:marTop w:val="0"/>
          <w:marBottom w:val="0"/>
          <w:divBdr>
            <w:top w:val="none" w:sz="0" w:space="0" w:color="auto"/>
            <w:left w:val="none" w:sz="0" w:space="0" w:color="auto"/>
            <w:bottom w:val="none" w:sz="0" w:space="0" w:color="auto"/>
            <w:right w:val="none" w:sz="0" w:space="0" w:color="auto"/>
          </w:divBdr>
          <w:divsChild>
            <w:div w:id="1626161319">
              <w:marLeft w:val="0"/>
              <w:marRight w:val="0"/>
              <w:marTop w:val="0"/>
              <w:marBottom w:val="0"/>
              <w:divBdr>
                <w:top w:val="none" w:sz="0" w:space="0" w:color="auto"/>
                <w:left w:val="none" w:sz="0" w:space="0" w:color="auto"/>
                <w:bottom w:val="none" w:sz="0" w:space="0" w:color="auto"/>
                <w:right w:val="none" w:sz="0" w:space="0" w:color="auto"/>
              </w:divBdr>
            </w:div>
          </w:divsChild>
        </w:div>
        <w:div w:id="1851292218">
          <w:marLeft w:val="0"/>
          <w:marRight w:val="0"/>
          <w:marTop w:val="0"/>
          <w:marBottom w:val="0"/>
          <w:divBdr>
            <w:top w:val="none" w:sz="0" w:space="0" w:color="auto"/>
            <w:left w:val="none" w:sz="0" w:space="0" w:color="auto"/>
            <w:bottom w:val="none" w:sz="0" w:space="0" w:color="auto"/>
            <w:right w:val="none" w:sz="0" w:space="0" w:color="auto"/>
          </w:divBdr>
          <w:divsChild>
            <w:div w:id="54009798">
              <w:marLeft w:val="0"/>
              <w:marRight w:val="0"/>
              <w:marTop w:val="0"/>
              <w:marBottom w:val="0"/>
              <w:divBdr>
                <w:top w:val="none" w:sz="0" w:space="0" w:color="auto"/>
                <w:left w:val="none" w:sz="0" w:space="0" w:color="auto"/>
                <w:bottom w:val="none" w:sz="0" w:space="0" w:color="auto"/>
                <w:right w:val="none" w:sz="0" w:space="0" w:color="auto"/>
              </w:divBdr>
            </w:div>
          </w:divsChild>
        </w:div>
        <w:div w:id="1851986101">
          <w:marLeft w:val="0"/>
          <w:marRight w:val="0"/>
          <w:marTop w:val="0"/>
          <w:marBottom w:val="0"/>
          <w:divBdr>
            <w:top w:val="none" w:sz="0" w:space="0" w:color="auto"/>
            <w:left w:val="none" w:sz="0" w:space="0" w:color="auto"/>
            <w:bottom w:val="none" w:sz="0" w:space="0" w:color="auto"/>
            <w:right w:val="none" w:sz="0" w:space="0" w:color="auto"/>
          </w:divBdr>
          <w:divsChild>
            <w:div w:id="1306080366">
              <w:marLeft w:val="0"/>
              <w:marRight w:val="0"/>
              <w:marTop w:val="0"/>
              <w:marBottom w:val="0"/>
              <w:divBdr>
                <w:top w:val="none" w:sz="0" w:space="0" w:color="auto"/>
                <w:left w:val="none" w:sz="0" w:space="0" w:color="auto"/>
                <w:bottom w:val="none" w:sz="0" w:space="0" w:color="auto"/>
                <w:right w:val="none" w:sz="0" w:space="0" w:color="auto"/>
              </w:divBdr>
            </w:div>
          </w:divsChild>
        </w:div>
        <w:div w:id="1880436530">
          <w:marLeft w:val="0"/>
          <w:marRight w:val="0"/>
          <w:marTop w:val="0"/>
          <w:marBottom w:val="0"/>
          <w:divBdr>
            <w:top w:val="none" w:sz="0" w:space="0" w:color="auto"/>
            <w:left w:val="none" w:sz="0" w:space="0" w:color="auto"/>
            <w:bottom w:val="none" w:sz="0" w:space="0" w:color="auto"/>
            <w:right w:val="none" w:sz="0" w:space="0" w:color="auto"/>
          </w:divBdr>
          <w:divsChild>
            <w:div w:id="402680095">
              <w:marLeft w:val="0"/>
              <w:marRight w:val="0"/>
              <w:marTop w:val="0"/>
              <w:marBottom w:val="0"/>
              <w:divBdr>
                <w:top w:val="none" w:sz="0" w:space="0" w:color="auto"/>
                <w:left w:val="none" w:sz="0" w:space="0" w:color="auto"/>
                <w:bottom w:val="none" w:sz="0" w:space="0" w:color="auto"/>
                <w:right w:val="none" w:sz="0" w:space="0" w:color="auto"/>
              </w:divBdr>
            </w:div>
          </w:divsChild>
        </w:div>
        <w:div w:id="2093775556">
          <w:marLeft w:val="0"/>
          <w:marRight w:val="0"/>
          <w:marTop w:val="0"/>
          <w:marBottom w:val="0"/>
          <w:divBdr>
            <w:top w:val="none" w:sz="0" w:space="0" w:color="auto"/>
            <w:left w:val="none" w:sz="0" w:space="0" w:color="auto"/>
            <w:bottom w:val="none" w:sz="0" w:space="0" w:color="auto"/>
            <w:right w:val="none" w:sz="0" w:space="0" w:color="auto"/>
          </w:divBdr>
          <w:divsChild>
            <w:div w:id="5688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4343">
      <w:bodyDiv w:val="1"/>
      <w:marLeft w:val="0"/>
      <w:marRight w:val="0"/>
      <w:marTop w:val="0"/>
      <w:marBottom w:val="0"/>
      <w:divBdr>
        <w:top w:val="none" w:sz="0" w:space="0" w:color="auto"/>
        <w:left w:val="none" w:sz="0" w:space="0" w:color="auto"/>
        <w:bottom w:val="none" w:sz="0" w:space="0" w:color="auto"/>
        <w:right w:val="none" w:sz="0" w:space="0" w:color="auto"/>
      </w:divBdr>
    </w:div>
    <w:div w:id="1798067559">
      <w:bodyDiv w:val="1"/>
      <w:marLeft w:val="0"/>
      <w:marRight w:val="0"/>
      <w:marTop w:val="0"/>
      <w:marBottom w:val="0"/>
      <w:divBdr>
        <w:top w:val="none" w:sz="0" w:space="0" w:color="auto"/>
        <w:left w:val="none" w:sz="0" w:space="0" w:color="auto"/>
        <w:bottom w:val="none" w:sz="0" w:space="0" w:color="auto"/>
        <w:right w:val="none" w:sz="0" w:space="0" w:color="auto"/>
      </w:divBdr>
      <w:divsChild>
        <w:div w:id="443354636">
          <w:marLeft w:val="0"/>
          <w:marRight w:val="0"/>
          <w:marTop w:val="0"/>
          <w:marBottom w:val="0"/>
          <w:divBdr>
            <w:top w:val="none" w:sz="0" w:space="0" w:color="auto"/>
            <w:left w:val="none" w:sz="0" w:space="0" w:color="auto"/>
            <w:bottom w:val="none" w:sz="0" w:space="0" w:color="auto"/>
            <w:right w:val="none" w:sz="0" w:space="0" w:color="auto"/>
          </w:divBdr>
          <w:divsChild>
            <w:div w:id="39208045">
              <w:marLeft w:val="-75"/>
              <w:marRight w:val="0"/>
              <w:marTop w:val="30"/>
              <w:marBottom w:val="30"/>
              <w:divBdr>
                <w:top w:val="none" w:sz="0" w:space="0" w:color="auto"/>
                <w:left w:val="none" w:sz="0" w:space="0" w:color="auto"/>
                <w:bottom w:val="none" w:sz="0" w:space="0" w:color="auto"/>
                <w:right w:val="none" w:sz="0" w:space="0" w:color="auto"/>
              </w:divBdr>
              <w:divsChild>
                <w:div w:id="13969924">
                  <w:marLeft w:val="0"/>
                  <w:marRight w:val="0"/>
                  <w:marTop w:val="0"/>
                  <w:marBottom w:val="0"/>
                  <w:divBdr>
                    <w:top w:val="none" w:sz="0" w:space="0" w:color="auto"/>
                    <w:left w:val="none" w:sz="0" w:space="0" w:color="auto"/>
                    <w:bottom w:val="none" w:sz="0" w:space="0" w:color="auto"/>
                    <w:right w:val="none" w:sz="0" w:space="0" w:color="auto"/>
                  </w:divBdr>
                  <w:divsChild>
                    <w:div w:id="1819150396">
                      <w:marLeft w:val="0"/>
                      <w:marRight w:val="0"/>
                      <w:marTop w:val="0"/>
                      <w:marBottom w:val="0"/>
                      <w:divBdr>
                        <w:top w:val="none" w:sz="0" w:space="0" w:color="auto"/>
                        <w:left w:val="none" w:sz="0" w:space="0" w:color="auto"/>
                        <w:bottom w:val="none" w:sz="0" w:space="0" w:color="auto"/>
                        <w:right w:val="none" w:sz="0" w:space="0" w:color="auto"/>
                      </w:divBdr>
                    </w:div>
                  </w:divsChild>
                </w:div>
                <w:div w:id="41832577">
                  <w:marLeft w:val="0"/>
                  <w:marRight w:val="0"/>
                  <w:marTop w:val="0"/>
                  <w:marBottom w:val="0"/>
                  <w:divBdr>
                    <w:top w:val="none" w:sz="0" w:space="0" w:color="auto"/>
                    <w:left w:val="none" w:sz="0" w:space="0" w:color="auto"/>
                    <w:bottom w:val="none" w:sz="0" w:space="0" w:color="auto"/>
                    <w:right w:val="none" w:sz="0" w:space="0" w:color="auto"/>
                  </w:divBdr>
                  <w:divsChild>
                    <w:div w:id="933438456">
                      <w:marLeft w:val="0"/>
                      <w:marRight w:val="0"/>
                      <w:marTop w:val="0"/>
                      <w:marBottom w:val="0"/>
                      <w:divBdr>
                        <w:top w:val="none" w:sz="0" w:space="0" w:color="auto"/>
                        <w:left w:val="none" w:sz="0" w:space="0" w:color="auto"/>
                        <w:bottom w:val="none" w:sz="0" w:space="0" w:color="auto"/>
                        <w:right w:val="none" w:sz="0" w:space="0" w:color="auto"/>
                      </w:divBdr>
                    </w:div>
                  </w:divsChild>
                </w:div>
                <w:div w:id="83693761">
                  <w:marLeft w:val="0"/>
                  <w:marRight w:val="0"/>
                  <w:marTop w:val="0"/>
                  <w:marBottom w:val="0"/>
                  <w:divBdr>
                    <w:top w:val="none" w:sz="0" w:space="0" w:color="auto"/>
                    <w:left w:val="none" w:sz="0" w:space="0" w:color="auto"/>
                    <w:bottom w:val="none" w:sz="0" w:space="0" w:color="auto"/>
                    <w:right w:val="none" w:sz="0" w:space="0" w:color="auto"/>
                  </w:divBdr>
                  <w:divsChild>
                    <w:div w:id="704793712">
                      <w:marLeft w:val="0"/>
                      <w:marRight w:val="0"/>
                      <w:marTop w:val="0"/>
                      <w:marBottom w:val="0"/>
                      <w:divBdr>
                        <w:top w:val="none" w:sz="0" w:space="0" w:color="auto"/>
                        <w:left w:val="none" w:sz="0" w:space="0" w:color="auto"/>
                        <w:bottom w:val="none" w:sz="0" w:space="0" w:color="auto"/>
                        <w:right w:val="none" w:sz="0" w:space="0" w:color="auto"/>
                      </w:divBdr>
                    </w:div>
                  </w:divsChild>
                </w:div>
                <w:div w:id="191040062">
                  <w:marLeft w:val="0"/>
                  <w:marRight w:val="0"/>
                  <w:marTop w:val="0"/>
                  <w:marBottom w:val="0"/>
                  <w:divBdr>
                    <w:top w:val="none" w:sz="0" w:space="0" w:color="auto"/>
                    <w:left w:val="none" w:sz="0" w:space="0" w:color="auto"/>
                    <w:bottom w:val="none" w:sz="0" w:space="0" w:color="auto"/>
                    <w:right w:val="none" w:sz="0" w:space="0" w:color="auto"/>
                  </w:divBdr>
                  <w:divsChild>
                    <w:div w:id="1883781648">
                      <w:marLeft w:val="0"/>
                      <w:marRight w:val="0"/>
                      <w:marTop w:val="0"/>
                      <w:marBottom w:val="0"/>
                      <w:divBdr>
                        <w:top w:val="none" w:sz="0" w:space="0" w:color="auto"/>
                        <w:left w:val="none" w:sz="0" w:space="0" w:color="auto"/>
                        <w:bottom w:val="none" w:sz="0" w:space="0" w:color="auto"/>
                        <w:right w:val="none" w:sz="0" w:space="0" w:color="auto"/>
                      </w:divBdr>
                    </w:div>
                  </w:divsChild>
                </w:div>
                <w:div w:id="277025534">
                  <w:marLeft w:val="0"/>
                  <w:marRight w:val="0"/>
                  <w:marTop w:val="0"/>
                  <w:marBottom w:val="0"/>
                  <w:divBdr>
                    <w:top w:val="none" w:sz="0" w:space="0" w:color="auto"/>
                    <w:left w:val="none" w:sz="0" w:space="0" w:color="auto"/>
                    <w:bottom w:val="none" w:sz="0" w:space="0" w:color="auto"/>
                    <w:right w:val="none" w:sz="0" w:space="0" w:color="auto"/>
                  </w:divBdr>
                  <w:divsChild>
                    <w:div w:id="1614240167">
                      <w:marLeft w:val="0"/>
                      <w:marRight w:val="0"/>
                      <w:marTop w:val="0"/>
                      <w:marBottom w:val="0"/>
                      <w:divBdr>
                        <w:top w:val="none" w:sz="0" w:space="0" w:color="auto"/>
                        <w:left w:val="none" w:sz="0" w:space="0" w:color="auto"/>
                        <w:bottom w:val="none" w:sz="0" w:space="0" w:color="auto"/>
                        <w:right w:val="none" w:sz="0" w:space="0" w:color="auto"/>
                      </w:divBdr>
                    </w:div>
                  </w:divsChild>
                </w:div>
                <w:div w:id="306321432">
                  <w:marLeft w:val="0"/>
                  <w:marRight w:val="0"/>
                  <w:marTop w:val="0"/>
                  <w:marBottom w:val="0"/>
                  <w:divBdr>
                    <w:top w:val="none" w:sz="0" w:space="0" w:color="auto"/>
                    <w:left w:val="none" w:sz="0" w:space="0" w:color="auto"/>
                    <w:bottom w:val="none" w:sz="0" w:space="0" w:color="auto"/>
                    <w:right w:val="none" w:sz="0" w:space="0" w:color="auto"/>
                  </w:divBdr>
                  <w:divsChild>
                    <w:div w:id="2102526419">
                      <w:marLeft w:val="0"/>
                      <w:marRight w:val="0"/>
                      <w:marTop w:val="0"/>
                      <w:marBottom w:val="0"/>
                      <w:divBdr>
                        <w:top w:val="none" w:sz="0" w:space="0" w:color="auto"/>
                        <w:left w:val="none" w:sz="0" w:space="0" w:color="auto"/>
                        <w:bottom w:val="none" w:sz="0" w:space="0" w:color="auto"/>
                        <w:right w:val="none" w:sz="0" w:space="0" w:color="auto"/>
                      </w:divBdr>
                    </w:div>
                  </w:divsChild>
                </w:div>
                <w:div w:id="366685143">
                  <w:marLeft w:val="0"/>
                  <w:marRight w:val="0"/>
                  <w:marTop w:val="0"/>
                  <w:marBottom w:val="0"/>
                  <w:divBdr>
                    <w:top w:val="none" w:sz="0" w:space="0" w:color="auto"/>
                    <w:left w:val="none" w:sz="0" w:space="0" w:color="auto"/>
                    <w:bottom w:val="none" w:sz="0" w:space="0" w:color="auto"/>
                    <w:right w:val="none" w:sz="0" w:space="0" w:color="auto"/>
                  </w:divBdr>
                  <w:divsChild>
                    <w:div w:id="119307200">
                      <w:marLeft w:val="0"/>
                      <w:marRight w:val="0"/>
                      <w:marTop w:val="0"/>
                      <w:marBottom w:val="0"/>
                      <w:divBdr>
                        <w:top w:val="none" w:sz="0" w:space="0" w:color="auto"/>
                        <w:left w:val="none" w:sz="0" w:space="0" w:color="auto"/>
                        <w:bottom w:val="none" w:sz="0" w:space="0" w:color="auto"/>
                        <w:right w:val="none" w:sz="0" w:space="0" w:color="auto"/>
                      </w:divBdr>
                    </w:div>
                  </w:divsChild>
                </w:div>
                <w:div w:id="411051643">
                  <w:marLeft w:val="0"/>
                  <w:marRight w:val="0"/>
                  <w:marTop w:val="0"/>
                  <w:marBottom w:val="0"/>
                  <w:divBdr>
                    <w:top w:val="none" w:sz="0" w:space="0" w:color="auto"/>
                    <w:left w:val="none" w:sz="0" w:space="0" w:color="auto"/>
                    <w:bottom w:val="none" w:sz="0" w:space="0" w:color="auto"/>
                    <w:right w:val="none" w:sz="0" w:space="0" w:color="auto"/>
                  </w:divBdr>
                  <w:divsChild>
                    <w:div w:id="955332732">
                      <w:marLeft w:val="0"/>
                      <w:marRight w:val="0"/>
                      <w:marTop w:val="0"/>
                      <w:marBottom w:val="0"/>
                      <w:divBdr>
                        <w:top w:val="none" w:sz="0" w:space="0" w:color="auto"/>
                        <w:left w:val="none" w:sz="0" w:space="0" w:color="auto"/>
                        <w:bottom w:val="none" w:sz="0" w:space="0" w:color="auto"/>
                        <w:right w:val="none" w:sz="0" w:space="0" w:color="auto"/>
                      </w:divBdr>
                    </w:div>
                  </w:divsChild>
                </w:div>
                <w:div w:id="455150060">
                  <w:marLeft w:val="0"/>
                  <w:marRight w:val="0"/>
                  <w:marTop w:val="0"/>
                  <w:marBottom w:val="0"/>
                  <w:divBdr>
                    <w:top w:val="none" w:sz="0" w:space="0" w:color="auto"/>
                    <w:left w:val="none" w:sz="0" w:space="0" w:color="auto"/>
                    <w:bottom w:val="none" w:sz="0" w:space="0" w:color="auto"/>
                    <w:right w:val="none" w:sz="0" w:space="0" w:color="auto"/>
                  </w:divBdr>
                  <w:divsChild>
                    <w:div w:id="1214586542">
                      <w:marLeft w:val="0"/>
                      <w:marRight w:val="0"/>
                      <w:marTop w:val="0"/>
                      <w:marBottom w:val="0"/>
                      <w:divBdr>
                        <w:top w:val="none" w:sz="0" w:space="0" w:color="auto"/>
                        <w:left w:val="none" w:sz="0" w:space="0" w:color="auto"/>
                        <w:bottom w:val="none" w:sz="0" w:space="0" w:color="auto"/>
                        <w:right w:val="none" w:sz="0" w:space="0" w:color="auto"/>
                      </w:divBdr>
                    </w:div>
                  </w:divsChild>
                </w:div>
                <w:div w:id="467357459">
                  <w:marLeft w:val="0"/>
                  <w:marRight w:val="0"/>
                  <w:marTop w:val="0"/>
                  <w:marBottom w:val="0"/>
                  <w:divBdr>
                    <w:top w:val="none" w:sz="0" w:space="0" w:color="auto"/>
                    <w:left w:val="none" w:sz="0" w:space="0" w:color="auto"/>
                    <w:bottom w:val="none" w:sz="0" w:space="0" w:color="auto"/>
                    <w:right w:val="none" w:sz="0" w:space="0" w:color="auto"/>
                  </w:divBdr>
                  <w:divsChild>
                    <w:div w:id="1832210161">
                      <w:marLeft w:val="0"/>
                      <w:marRight w:val="0"/>
                      <w:marTop w:val="0"/>
                      <w:marBottom w:val="0"/>
                      <w:divBdr>
                        <w:top w:val="none" w:sz="0" w:space="0" w:color="auto"/>
                        <w:left w:val="none" w:sz="0" w:space="0" w:color="auto"/>
                        <w:bottom w:val="none" w:sz="0" w:space="0" w:color="auto"/>
                        <w:right w:val="none" w:sz="0" w:space="0" w:color="auto"/>
                      </w:divBdr>
                    </w:div>
                  </w:divsChild>
                </w:div>
                <w:div w:id="482351916">
                  <w:marLeft w:val="0"/>
                  <w:marRight w:val="0"/>
                  <w:marTop w:val="0"/>
                  <w:marBottom w:val="0"/>
                  <w:divBdr>
                    <w:top w:val="none" w:sz="0" w:space="0" w:color="auto"/>
                    <w:left w:val="none" w:sz="0" w:space="0" w:color="auto"/>
                    <w:bottom w:val="none" w:sz="0" w:space="0" w:color="auto"/>
                    <w:right w:val="none" w:sz="0" w:space="0" w:color="auto"/>
                  </w:divBdr>
                  <w:divsChild>
                    <w:div w:id="251940954">
                      <w:marLeft w:val="0"/>
                      <w:marRight w:val="0"/>
                      <w:marTop w:val="0"/>
                      <w:marBottom w:val="0"/>
                      <w:divBdr>
                        <w:top w:val="none" w:sz="0" w:space="0" w:color="auto"/>
                        <w:left w:val="none" w:sz="0" w:space="0" w:color="auto"/>
                        <w:bottom w:val="none" w:sz="0" w:space="0" w:color="auto"/>
                        <w:right w:val="none" w:sz="0" w:space="0" w:color="auto"/>
                      </w:divBdr>
                    </w:div>
                  </w:divsChild>
                </w:div>
                <w:div w:id="676225551">
                  <w:marLeft w:val="0"/>
                  <w:marRight w:val="0"/>
                  <w:marTop w:val="0"/>
                  <w:marBottom w:val="0"/>
                  <w:divBdr>
                    <w:top w:val="none" w:sz="0" w:space="0" w:color="auto"/>
                    <w:left w:val="none" w:sz="0" w:space="0" w:color="auto"/>
                    <w:bottom w:val="none" w:sz="0" w:space="0" w:color="auto"/>
                    <w:right w:val="none" w:sz="0" w:space="0" w:color="auto"/>
                  </w:divBdr>
                  <w:divsChild>
                    <w:div w:id="1663846900">
                      <w:marLeft w:val="0"/>
                      <w:marRight w:val="0"/>
                      <w:marTop w:val="0"/>
                      <w:marBottom w:val="0"/>
                      <w:divBdr>
                        <w:top w:val="none" w:sz="0" w:space="0" w:color="auto"/>
                        <w:left w:val="none" w:sz="0" w:space="0" w:color="auto"/>
                        <w:bottom w:val="none" w:sz="0" w:space="0" w:color="auto"/>
                        <w:right w:val="none" w:sz="0" w:space="0" w:color="auto"/>
                      </w:divBdr>
                    </w:div>
                  </w:divsChild>
                </w:div>
                <w:div w:id="826630112">
                  <w:marLeft w:val="0"/>
                  <w:marRight w:val="0"/>
                  <w:marTop w:val="0"/>
                  <w:marBottom w:val="0"/>
                  <w:divBdr>
                    <w:top w:val="none" w:sz="0" w:space="0" w:color="auto"/>
                    <w:left w:val="none" w:sz="0" w:space="0" w:color="auto"/>
                    <w:bottom w:val="none" w:sz="0" w:space="0" w:color="auto"/>
                    <w:right w:val="none" w:sz="0" w:space="0" w:color="auto"/>
                  </w:divBdr>
                  <w:divsChild>
                    <w:div w:id="1135953296">
                      <w:marLeft w:val="0"/>
                      <w:marRight w:val="0"/>
                      <w:marTop w:val="0"/>
                      <w:marBottom w:val="0"/>
                      <w:divBdr>
                        <w:top w:val="none" w:sz="0" w:space="0" w:color="auto"/>
                        <w:left w:val="none" w:sz="0" w:space="0" w:color="auto"/>
                        <w:bottom w:val="none" w:sz="0" w:space="0" w:color="auto"/>
                        <w:right w:val="none" w:sz="0" w:space="0" w:color="auto"/>
                      </w:divBdr>
                    </w:div>
                  </w:divsChild>
                </w:div>
                <w:div w:id="829783971">
                  <w:marLeft w:val="0"/>
                  <w:marRight w:val="0"/>
                  <w:marTop w:val="0"/>
                  <w:marBottom w:val="0"/>
                  <w:divBdr>
                    <w:top w:val="none" w:sz="0" w:space="0" w:color="auto"/>
                    <w:left w:val="none" w:sz="0" w:space="0" w:color="auto"/>
                    <w:bottom w:val="none" w:sz="0" w:space="0" w:color="auto"/>
                    <w:right w:val="none" w:sz="0" w:space="0" w:color="auto"/>
                  </w:divBdr>
                  <w:divsChild>
                    <w:div w:id="1710572506">
                      <w:marLeft w:val="0"/>
                      <w:marRight w:val="0"/>
                      <w:marTop w:val="0"/>
                      <w:marBottom w:val="0"/>
                      <w:divBdr>
                        <w:top w:val="none" w:sz="0" w:space="0" w:color="auto"/>
                        <w:left w:val="none" w:sz="0" w:space="0" w:color="auto"/>
                        <w:bottom w:val="none" w:sz="0" w:space="0" w:color="auto"/>
                        <w:right w:val="none" w:sz="0" w:space="0" w:color="auto"/>
                      </w:divBdr>
                    </w:div>
                  </w:divsChild>
                </w:div>
                <w:div w:id="888878677">
                  <w:marLeft w:val="0"/>
                  <w:marRight w:val="0"/>
                  <w:marTop w:val="0"/>
                  <w:marBottom w:val="0"/>
                  <w:divBdr>
                    <w:top w:val="none" w:sz="0" w:space="0" w:color="auto"/>
                    <w:left w:val="none" w:sz="0" w:space="0" w:color="auto"/>
                    <w:bottom w:val="none" w:sz="0" w:space="0" w:color="auto"/>
                    <w:right w:val="none" w:sz="0" w:space="0" w:color="auto"/>
                  </w:divBdr>
                  <w:divsChild>
                    <w:div w:id="1168904922">
                      <w:marLeft w:val="0"/>
                      <w:marRight w:val="0"/>
                      <w:marTop w:val="0"/>
                      <w:marBottom w:val="0"/>
                      <w:divBdr>
                        <w:top w:val="none" w:sz="0" w:space="0" w:color="auto"/>
                        <w:left w:val="none" w:sz="0" w:space="0" w:color="auto"/>
                        <w:bottom w:val="none" w:sz="0" w:space="0" w:color="auto"/>
                        <w:right w:val="none" w:sz="0" w:space="0" w:color="auto"/>
                      </w:divBdr>
                    </w:div>
                  </w:divsChild>
                </w:div>
                <w:div w:id="961767634">
                  <w:marLeft w:val="0"/>
                  <w:marRight w:val="0"/>
                  <w:marTop w:val="0"/>
                  <w:marBottom w:val="0"/>
                  <w:divBdr>
                    <w:top w:val="none" w:sz="0" w:space="0" w:color="auto"/>
                    <w:left w:val="none" w:sz="0" w:space="0" w:color="auto"/>
                    <w:bottom w:val="none" w:sz="0" w:space="0" w:color="auto"/>
                    <w:right w:val="none" w:sz="0" w:space="0" w:color="auto"/>
                  </w:divBdr>
                  <w:divsChild>
                    <w:div w:id="1228685952">
                      <w:marLeft w:val="0"/>
                      <w:marRight w:val="0"/>
                      <w:marTop w:val="0"/>
                      <w:marBottom w:val="0"/>
                      <w:divBdr>
                        <w:top w:val="none" w:sz="0" w:space="0" w:color="auto"/>
                        <w:left w:val="none" w:sz="0" w:space="0" w:color="auto"/>
                        <w:bottom w:val="none" w:sz="0" w:space="0" w:color="auto"/>
                        <w:right w:val="none" w:sz="0" w:space="0" w:color="auto"/>
                      </w:divBdr>
                    </w:div>
                  </w:divsChild>
                </w:div>
                <w:div w:id="1115834796">
                  <w:marLeft w:val="0"/>
                  <w:marRight w:val="0"/>
                  <w:marTop w:val="0"/>
                  <w:marBottom w:val="0"/>
                  <w:divBdr>
                    <w:top w:val="none" w:sz="0" w:space="0" w:color="auto"/>
                    <w:left w:val="none" w:sz="0" w:space="0" w:color="auto"/>
                    <w:bottom w:val="none" w:sz="0" w:space="0" w:color="auto"/>
                    <w:right w:val="none" w:sz="0" w:space="0" w:color="auto"/>
                  </w:divBdr>
                  <w:divsChild>
                    <w:div w:id="1674146299">
                      <w:marLeft w:val="0"/>
                      <w:marRight w:val="0"/>
                      <w:marTop w:val="0"/>
                      <w:marBottom w:val="0"/>
                      <w:divBdr>
                        <w:top w:val="none" w:sz="0" w:space="0" w:color="auto"/>
                        <w:left w:val="none" w:sz="0" w:space="0" w:color="auto"/>
                        <w:bottom w:val="none" w:sz="0" w:space="0" w:color="auto"/>
                        <w:right w:val="none" w:sz="0" w:space="0" w:color="auto"/>
                      </w:divBdr>
                    </w:div>
                  </w:divsChild>
                </w:div>
                <w:div w:id="1136526250">
                  <w:marLeft w:val="0"/>
                  <w:marRight w:val="0"/>
                  <w:marTop w:val="0"/>
                  <w:marBottom w:val="0"/>
                  <w:divBdr>
                    <w:top w:val="none" w:sz="0" w:space="0" w:color="auto"/>
                    <w:left w:val="none" w:sz="0" w:space="0" w:color="auto"/>
                    <w:bottom w:val="none" w:sz="0" w:space="0" w:color="auto"/>
                    <w:right w:val="none" w:sz="0" w:space="0" w:color="auto"/>
                  </w:divBdr>
                  <w:divsChild>
                    <w:div w:id="215973128">
                      <w:marLeft w:val="0"/>
                      <w:marRight w:val="0"/>
                      <w:marTop w:val="0"/>
                      <w:marBottom w:val="0"/>
                      <w:divBdr>
                        <w:top w:val="none" w:sz="0" w:space="0" w:color="auto"/>
                        <w:left w:val="none" w:sz="0" w:space="0" w:color="auto"/>
                        <w:bottom w:val="none" w:sz="0" w:space="0" w:color="auto"/>
                        <w:right w:val="none" w:sz="0" w:space="0" w:color="auto"/>
                      </w:divBdr>
                    </w:div>
                  </w:divsChild>
                </w:div>
                <w:div w:id="1144351426">
                  <w:marLeft w:val="0"/>
                  <w:marRight w:val="0"/>
                  <w:marTop w:val="0"/>
                  <w:marBottom w:val="0"/>
                  <w:divBdr>
                    <w:top w:val="none" w:sz="0" w:space="0" w:color="auto"/>
                    <w:left w:val="none" w:sz="0" w:space="0" w:color="auto"/>
                    <w:bottom w:val="none" w:sz="0" w:space="0" w:color="auto"/>
                    <w:right w:val="none" w:sz="0" w:space="0" w:color="auto"/>
                  </w:divBdr>
                  <w:divsChild>
                    <w:div w:id="1574971697">
                      <w:marLeft w:val="0"/>
                      <w:marRight w:val="0"/>
                      <w:marTop w:val="0"/>
                      <w:marBottom w:val="0"/>
                      <w:divBdr>
                        <w:top w:val="none" w:sz="0" w:space="0" w:color="auto"/>
                        <w:left w:val="none" w:sz="0" w:space="0" w:color="auto"/>
                        <w:bottom w:val="none" w:sz="0" w:space="0" w:color="auto"/>
                        <w:right w:val="none" w:sz="0" w:space="0" w:color="auto"/>
                      </w:divBdr>
                    </w:div>
                  </w:divsChild>
                </w:div>
                <w:div w:id="1170831014">
                  <w:marLeft w:val="0"/>
                  <w:marRight w:val="0"/>
                  <w:marTop w:val="0"/>
                  <w:marBottom w:val="0"/>
                  <w:divBdr>
                    <w:top w:val="none" w:sz="0" w:space="0" w:color="auto"/>
                    <w:left w:val="none" w:sz="0" w:space="0" w:color="auto"/>
                    <w:bottom w:val="none" w:sz="0" w:space="0" w:color="auto"/>
                    <w:right w:val="none" w:sz="0" w:space="0" w:color="auto"/>
                  </w:divBdr>
                  <w:divsChild>
                    <w:div w:id="1612199781">
                      <w:marLeft w:val="0"/>
                      <w:marRight w:val="0"/>
                      <w:marTop w:val="0"/>
                      <w:marBottom w:val="0"/>
                      <w:divBdr>
                        <w:top w:val="none" w:sz="0" w:space="0" w:color="auto"/>
                        <w:left w:val="none" w:sz="0" w:space="0" w:color="auto"/>
                        <w:bottom w:val="none" w:sz="0" w:space="0" w:color="auto"/>
                        <w:right w:val="none" w:sz="0" w:space="0" w:color="auto"/>
                      </w:divBdr>
                    </w:div>
                  </w:divsChild>
                </w:div>
                <w:div w:id="1261256101">
                  <w:marLeft w:val="0"/>
                  <w:marRight w:val="0"/>
                  <w:marTop w:val="0"/>
                  <w:marBottom w:val="0"/>
                  <w:divBdr>
                    <w:top w:val="none" w:sz="0" w:space="0" w:color="auto"/>
                    <w:left w:val="none" w:sz="0" w:space="0" w:color="auto"/>
                    <w:bottom w:val="none" w:sz="0" w:space="0" w:color="auto"/>
                    <w:right w:val="none" w:sz="0" w:space="0" w:color="auto"/>
                  </w:divBdr>
                  <w:divsChild>
                    <w:div w:id="2058435710">
                      <w:marLeft w:val="0"/>
                      <w:marRight w:val="0"/>
                      <w:marTop w:val="0"/>
                      <w:marBottom w:val="0"/>
                      <w:divBdr>
                        <w:top w:val="none" w:sz="0" w:space="0" w:color="auto"/>
                        <w:left w:val="none" w:sz="0" w:space="0" w:color="auto"/>
                        <w:bottom w:val="none" w:sz="0" w:space="0" w:color="auto"/>
                        <w:right w:val="none" w:sz="0" w:space="0" w:color="auto"/>
                      </w:divBdr>
                    </w:div>
                  </w:divsChild>
                </w:div>
                <w:div w:id="1397509517">
                  <w:marLeft w:val="0"/>
                  <w:marRight w:val="0"/>
                  <w:marTop w:val="0"/>
                  <w:marBottom w:val="0"/>
                  <w:divBdr>
                    <w:top w:val="none" w:sz="0" w:space="0" w:color="auto"/>
                    <w:left w:val="none" w:sz="0" w:space="0" w:color="auto"/>
                    <w:bottom w:val="none" w:sz="0" w:space="0" w:color="auto"/>
                    <w:right w:val="none" w:sz="0" w:space="0" w:color="auto"/>
                  </w:divBdr>
                  <w:divsChild>
                    <w:div w:id="1095326415">
                      <w:marLeft w:val="0"/>
                      <w:marRight w:val="0"/>
                      <w:marTop w:val="0"/>
                      <w:marBottom w:val="0"/>
                      <w:divBdr>
                        <w:top w:val="none" w:sz="0" w:space="0" w:color="auto"/>
                        <w:left w:val="none" w:sz="0" w:space="0" w:color="auto"/>
                        <w:bottom w:val="none" w:sz="0" w:space="0" w:color="auto"/>
                        <w:right w:val="none" w:sz="0" w:space="0" w:color="auto"/>
                      </w:divBdr>
                    </w:div>
                  </w:divsChild>
                </w:div>
                <w:div w:id="1446457910">
                  <w:marLeft w:val="0"/>
                  <w:marRight w:val="0"/>
                  <w:marTop w:val="0"/>
                  <w:marBottom w:val="0"/>
                  <w:divBdr>
                    <w:top w:val="none" w:sz="0" w:space="0" w:color="auto"/>
                    <w:left w:val="none" w:sz="0" w:space="0" w:color="auto"/>
                    <w:bottom w:val="none" w:sz="0" w:space="0" w:color="auto"/>
                    <w:right w:val="none" w:sz="0" w:space="0" w:color="auto"/>
                  </w:divBdr>
                  <w:divsChild>
                    <w:div w:id="1410617025">
                      <w:marLeft w:val="0"/>
                      <w:marRight w:val="0"/>
                      <w:marTop w:val="0"/>
                      <w:marBottom w:val="0"/>
                      <w:divBdr>
                        <w:top w:val="none" w:sz="0" w:space="0" w:color="auto"/>
                        <w:left w:val="none" w:sz="0" w:space="0" w:color="auto"/>
                        <w:bottom w:val="none" w:sz="0" w:space="0" w:color="auto"/>
                        <w:right w:val="none" w:sz="0" w:space="0" w:color="auto"/>
                      </w:divBdr>
                    </w:div>
                  </w:divsChild>
                </w:div>
                <w:div w:id="1511791284">
                  <w:marLeft w:val="0"/>
                  <w:marRight w:val="0"/>
                  <w:marTop w:val="0"/>
                  <w:marBottom w:val="0"/>
                  <w:divBdr>
                    <w:top w:val="none" w:sz="0" w:space="0" w:color="auto"/>
                    <w:left w:val="none" w:sz="0" w:space="0" w:color="auto"/>
                    <w:bottom w:val="none" w:sz="0" w:space="0" w:color="auto"/>
                    <w:right w:val="none" w:sz="0" w:space="0" w:color="auto"/>
                  </w:divBdr>
                  <w:divsChild>
                    <w:div w:id="1567911706">
                      <w:marLeft w:val="0"/>
                      <w:marRight w:val="0"/>
                      <w:marTop w:val="0"/>
                      <w:marBottom w:val="0"/>
                      <w:divBdr>
                        <w:top w:val="none" w:sz="0" w:space="0" w:color="auto"/>
                        <w:left w:val="none" w:sz="0" w:space="0" w:color="auto"/>
                        <w:bottom w:val="none" w:sz="0" w:space="0" w:color="auto"/>
                        <w:right w:val="none" w:sz="0" w:space="0" w:color="auto"/>
                      </w:divBdr>
                    </w:div>
                  </w:divsChild>
                </w:div>
                <w:div w:id="1524397420">
                  <w:marLeft w:val="0"/>
                  <w:marRight w:val="0"/>
                  <w:marTop w:val="0"/>
                  <w:marBottom w:val="0"/>
                  <w:divBdr>
                    <w:top w:val="none" w:sz="0" w:space="0" w:color="auto"/>
                    <w:left w:val="none" w:sz="0" w:space="0" w:color="auto"/>
                    <w:bottom w:val="none" w:sz="0" w:space="0" w:color="auto"/>
                    <w:right w:val="none" w:sz="0" w:space="0" w:color="auto"/>
                  </w:divBdr>
                  <w:divsChild>
                    <w:div w:id="136996900">
                      <w:marLeft w:val="0"/>
                      <w:marRight w:val="0"/>
                      <w:marTop w:val="0"/>
                      <w:marBottom w:val="0"/>
                      <w:divBdr>
                        <w:top w:val="none" w:sz="0" w:space="0" w:color="auto"/>
                        <w:left w:val="none" w:sz="0" w:space="0" w:color="auto"/>
                        <w:bottom w:val="none" w:sz="0" w:space="0" w:color="auto"/>
                        <w:right w:val="none" w:sz="0" w:space="0" w:color="auto"/>
                      </w:divBdr>
                    </w:div>
                  </w:divsChild>
                </w:div>
                <w:div w:id="1724526512">
                  <w:marLeft w:val="0"/>
                  <w:marRight w:val="0"/>
                  <w:marTop w:val="0"/>
                  <w:marBottom w:val="0"/>
                  <w:divBdr>
                    <w:top w:val="none" w:sz="0" w:space="0" w:color="auto"/>
                    <w:left w:val="none" w:sz="0" w:space="0" w:color="auto"/>
                    <w:bottom w:val="none" w:sz="0" w:space="0" w:color="auto"/>
                    <w:right w:val="none" w:sz="0" w:space="0" w:color="auto"/>
                  </w:divBdr>
                  <w:divsChild>
                    <w:div w:id="802044151">
                      <w:marLeft w:val="0"/>
                      <w:marRight w:val="0"/>
                      <w:marTop w:val="0"/>
                      <w:marBottom w:val="0"/>
                      <w:divBdr>
                        <w:top w:val="none" w:sz="0" w:space="0" w:color="auto"/>
                        <w:left w:val="none" w:sz="0" w:space="0" w:color="auto"/>
                        <w:bottom w:val="none" w:sz="0" w:space="0" w:color="auto"/>
                        <w:right w:val="none" w:sz="0" w:space="0" w:color="auto"/>
                      </w:divBdr>
                    </w:div>
                  </w:divsChild>
                </w:div>
                <w:div w:id="1740127065">
                  <w:marLeft w:val="0"/>
                  <w:marRight w:val="0"/>
                  <w:marTop w:val="0"/>
                  <w:marBottom w:val="0"/>
                  <w:divBdr>
                    <w:top w:val="none" w:sz="0" w:space="0" w:color="auto"/>
                    <w:left w:val="none" w:sz="0" w:space="0" w:color="auto"/>
                    <w:bottom w:val="none" w:sz="0" w:space="0" w:color="auto"/>
                    <w:right w:val="none" w:sz="0" w:space="0" w:color="auto"/>
                  </w:divBdr>
                  <w:divsChild>
                    <w:div w:id="1238443083">
                      <w:marLeft w:val="0"/>
                      <w:marRight w:val="0"/>
                      <w:marTop w:val="0"/>
                      <w:marBottom w:val="0"/>
                      <w:divBdr>
                        <w:top w:val="none" w:sz="0" w:space="0" w:color="auto"/>
                        <w:left w:val="none" w:sz="0" w:space="0" w:color="auto"/>
                        <w:bottom w:val="none" w:sz="0" w:space="0" w:color="auto"/>
                        <w:right w:val="none" w:sz="0" w:space="0" w:color="auto"/>
                      </w:divBdr>
                    </w:div>
                  </w:divsChild>
                </w:div>
                <w:div w:id="1749031854">
                  <w:marLeft w:val="0"/>
                  <w:marRight w:val="0"/>
                  <w:marTop w:val="0"/>
                  <w:marBottom w:val="0"/>
                  <w:divBdr>
                    <w:top w:val="none" w:sz="0" w:space="0" w:color="auto"/>
                    <w:left w:val="none" w:sz="0" w:space="0" w:color="auto"/>
                    <w:bottom w:val="none" w:sz="0" w:space="0" w:color="auto"/>
                    <w:right w:val="none" w:sz="0" w:space="0" w:color="auto"/>
                  </w:divBdr>
                  <w:divsChild>
                    <w:div w:id="1455708019">
                      <w:marLeft w:val="0"/>
                      <w:marRight w:val="0"/>
                      <w:marTop w:val="0"/>
                      <w:marBottom w:val="0"/>
                      <w:divBdr>
                        <w:top w:val="none" w:sz="0" w:space="0" w:color="auto"/>
                        <w:left w:val="none" w:sz="0" w:space="0" w:color="auto"/>
                        <w:bottom w:val="none" w:sz="0" w:space="0" w:color="auto"/>
                        <w:right w:val="none" w:sz="0" w:space="0" w:color="auto"/>
                      </w:divBdr>
                    </w:div>
                  </w:divsChild>
                </w:div>
                <w:div w:id="1770617600">
                  <w:marLeft w:val="0"/>
                  <w:marRight w:val="0"/>
                  <w:marTop w:val="0"/>
                  <w:marBottom w:val="0"/>
                  <w:divBdr>
                    <w:top w:val="none" w:sz="0" w:space="0" w:color="auto"/>
                    <w:left w:val="none" w:sz="0" w:space="0" w:color="auto"/>
                    <w:bottom w:val="none" w:sz="0" w:space="0" w:color="auto"/>
                    <w:right w:val="none" w:sz="0" w:space="0" w:color="auto"/>
                  </w:divBdr>
                  <w:divsChild>
                    <w:div w:id="2024743064">
                      <w:marLeft w:val="0"/>
                      <w:marRight w:val="0"/>
                      <w:marTop w:val="0"/>
                      <w:marBottom w:val="0"/>
                      <w:divBdr>
                        <w:top w:val="none" w:sz="0" w:space="0" w:color="auto"/>
                        <w:left w:val="none" w:sz="0" w:space="0" w:color="auto"/>
                        <w:bottom w:val="none" w:sz="0" w:space="0" w:color="auto"/>
                        <w:right w:val="none" w:sz="0" w:space="0" w:color="auto"/>
                      </w:divBdr>
                    </w:div>
                  </w:divsChild>
                </w:div>
                <w:div w:id="1835141273">
                  <w:marLeft w:val="0"/>
                  <w:marRight w:val="0"/>
                  <w:marTop w:val="0"/>
                  <w:marBottom w:val="0"/>
                  <w:divBdr>
                    <w:top w:val="none" w:sz="0" w:space="0" w:color="auto"/>
                    <w:left w:val="none" w:sz="0" w:space="0" w:color="auto"/>
                    <w:bottom w:val="none" w:sz="0" w:space="0" w:color="auto"/>
                    <w:right w:val="none" w:sz="0" w:space="0" w:color="auto"/>
                  </w:divBdr>
                  <w:divsChild>
                    <w:div w:id="15546226">
                      <w:marLeft w:val="0"/>
                      <w:marRight w:val="0"/>
                      <w:marTop w:val="0"/>
                      <w:marBottom w:val="0"/>
                      <w:divBdr>
                        <w:top w:val="none" w:sz="0" w:space="0" w:color="auto"/>
                        <w:left w:val="none" w:sz="0" w:space="0" w:color="auto"/>
                        <w:bottom w:val="none" w:sz="0" w:space="0" w:color="auto"/>
                        <w:right w:val="none" w:sz="0" w:space="0" w:color="auto"/>
                      </w:divBdr>
                    </w:div>
                    <w:div w:id="949891562">
                      <w:marLeft w:val="0"/>
                      <w:marRight w:val="0"/>
                      <w:marTop w:val="0"/>
                      <w:marBottom w:val="0"/>
                      <w:divBdr>
                        <w:top w:val="none" w:sz="0" w:space="0" w:color="auto"/>
                        <w:left w:val="none" w:sz="0" w:space="0" w:color="auto"/>
                        <w:bottom w:val="none" w:sz="0" w:space="0" w:color="auto"/>
                        <w:right w:val="none" w:sz="0" w:space="0" w:color="auto"/>
                      </w:divBdr>
                    </w:div>
                  </w:divsChild>
                </w:div>
                <w:div w:id="1972788230">
                  <w:marLeft w:val="0"/>
                  <w:marRight w:val="0"/>
                  <w:marTop w:val="0"/>
                  <w:marBottom w:val="0"/>
                  <w:divBdr>
                    <w:top w:val="none" w:sz="0" w:space="0" w:color="auto"/>
                    <w:left w:val="none" w:sz="0" w:space="0" w:color="auto"/>
                    <w:bottom w:val="none" w:sz="0" w:space="0" w:color="auto"/>
                    <w:right w:val="none" w:sz="0" w:space="0" w:color="auto"/>
                  </w:divBdr>
                  <w:divsChild>
                    <w:div w:id="1282610417">
                      <w:marLeft w:val="0"/>
                      <w:marRight w:val="0"/>
                      <w:marTop w:val="0"/>
                      <w:marBottom w:val="0"/>
                      <w:divBdr>
                        <w:top w:val="none" w:sz="0" w:space="0" w:color="auto"/>
                        <w:left w:val="none" w:sz="0" w:space="0" w:color="auto"/>
                        <w:bottom w:val="none" w:sz="0" w:space="0" w:color="auto"/>
                        <w:right w:val="none" w:sz="0" w:space="0" w:color="auto"/>
                      </w:divBdr>
                    </w:div>
                  </w:divsChild>
                </w:div>
                <w:div w:id="2067562183">
                  <w:marLeft w:val="0"/>
                  <w:marRight w:val="0"/>
                  <w:marTop w:val="0"/>
                  <w:marBottom w:val="0"/>
                  <w:divBdr>
                    <w:top w:val="none" w:sz="0" w:space="0" w:color="auto"/>
                    <w:left w:val="none" w:sz="0" w:space="0" w:color="auto"/>
                    <w:bottom w:val="none" w:sz="0" w:space="0" w:color="auto"/>
                    <w:right w:val="none" w:sz="0" w:space="0" w:color="auto"/>
                  </w:divBdr>
                  <w:divsChild>
                    <w:div w:id="300044757">
                      <w:marLeft w:val="0"/>
                      <w:marRight w:val="0"/>
                      <w:marTop w:val="0"/>
                      <w:marBottom w:val="0"/>
                      <w:divBdr>
                        <w:top w:val="none" w:sz="0" w:space="0" w:color="auto"/>
                        <w:left w:val="none" w:sz="0" w:space="0" w:color="auto"/>
                        <w:bottom w:val="none" w:sz="0" w:space="0" w:color="auto"/>
                        <w:right w:val="none" w:sz="0" w:space="0" w:color="auto"/>
                      </w:divBdr>
                    </w:div>
                  </w:divsChild>
                </w:div>
                <w:div w:id="2081050838">
                  <w:marLeft w:val="0"/>
                  <w:marRight w:val="0"/>
                  <w:marTop w:val="0"/>
                  <w:marBottom w:val="0"/>
                  <w:divBdr>
                    <w:top w:val="none" w:sz="0" w:space="0" w:color="auto"/>
                    <w:left w:val="none" w:sz="0" w:space="0" w:color="auto"/>
                    <w:bottom w:val="none" w:sz="0" w:space="0" w:color="auto"/>
                    <w:right w:val="none" w:sz="0" w:space="0" w:color="auto"/>
                  </w:divBdr>
                  <w:divsChild>
                    <w:div w:id="15272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6939">
          <w:marLeft w:val="0"/>
          <w:marRight w:val="0"/>
          <w:marTop w:val="0"/>
          <w:marBottom w:val="0"/>
          <w:divBdr>
            <w:top w:val="none" w:sz="0" w:space="0" w:color="auto"/>
            <w:left w:val="none" w:sz="0" w:space="0" w:color="auto"/>
            <w:bottom w:val="none" w:sz="0" w:space="0" w:color="auto"/>
            <w:right w:val="none" w:sz="0" w:space="0" w:color="auto"/>
          </w:divBdr>
        </w:div>
        <w:div w:id="1871988487">
          <w:marLeft w:val="0"/>
          <w:marRight w:val="0"/>
          <w:marTop w:val="0"/>
          <w:marBottom w:val="0"/>
          <w:divBdr>
            <w:top w:val="none" w:sz="0" w:space="0" w:color="auto"/>
            <w:left w:val="none" w:sz="0" w:space="0" w:color="auto"/>
            <w:bottom w:val="none" w:sz="0" w:space="0" w:color="auto"/>
            <w:right w:val="none" w:sz="0" w:space="0" w:color="auto"/>
          </w:divBdr>
        </w:div>
        <w:div w:id="1916546341">
          <w:marLeft w:val="0"/>
          <w:marRight w:val="0"/>
          <w:marTop w:val="0"/>
          <w:marBottom w:val="0"/>
          <w:divBdr>
            <w:top w:val="none" w:sz="0" w:space="0" w:color="auto"/>
            <w:left w:val="none" w:sz="0" w:space="0" w:color="auto"/>
            <w:bottom w:val="none" w:sz="0" w:space="0" w:color="auto"/>
            <w:right w:val="none" w:sz="0" w:space="0" w:color="auto"/>
          </w:divBdr>
        </w:div>
      </w:divsChild>
    </w:div>
    <w:div w:id="1945992298">
      <w:bodyDiv w:val="1"/>
      <w:marLeft w:val="0"/>
      <w:marRight w:val="0"/>
      <w:marTop w:val="0"/>
      <w:marBottom w:val="0"/>
      <w:divBdr>
        <w:top w:val="none" w:sz="0" w:space="0" w:color="auto"/>
        <w:left w:val="none" w:sz="0" w:space="0" w:color="auto"/>
        <w:bottom w:val="none" w:sz="0" w:space="0" w:color="auto"/>
        <w:right w:val="none" w:sz="0" w:space="0" w:color="auto"/>
      </w:divBdr>
      <w:divsChild>
        <w:div w:id="65155395">
          <w:marLeft w:val="0"/>
          <w:marRight w:val="0"/>
          <w:marTop w:val="0"/>
          <w:marBottom w:val="0"/>
          <w:divBdr>
            <w:top w:val="none" w:sz="0" w:space="0" w:color="auto"/>
            <w:left w:val="none" w:sz="0" w:space="0" w:color="auto"/>
            <w:bottom w:val="none" w:sz="0" w:space="0" w:color="auto"/>
            <w:right w:val="none" w:sz="0" w:space="0" w:color="auto"/>
          </w:divBdr>
        </w:div>
        <w:div w:id="86779256">
          <w:marLeft w:val="0"/>
          <w:marRight w:val="0"/>
          <w:marTop w:val="0"/>
          <w:marBottom w:val="0"/>
          <w:divBdr>
            <w:top w:val="none" w:sz="0" w:space="0" w:color="auto"/>
            <w:left w:val="none" w:sz="0" w:space="0" w:color="auto"/>
            <w:bottom w:val="none" w:sz="0" w:space="0" w:color="auto"/>
            <w:right w:val="none" w:sz="0" w:space="0" w:color="auto"/>
          </w:divBdr>
        </w:div>
        <w:div w:id="164369589">
          <w:marLeft w:val="0"/>
          <w:marRight w:val="0"/>
          <w:marTop w:val="0"/>
          <w:marBottom w:val="0"/>
          <w:divBdr>
            <w:top w:val="none" w:sz="0" w:space="0" w:color="auto"/>
            <w:left w:val="none" w:sz="0" w:space="0" w:color="auto"/>
            <w:bottom w:val="none" w:sz="0" w:space="0" w:color="auto"/>
            <w:right w:val="none" w:sz="0" w:space="0" w:color="auto"/>
          </w:divBdr>
        </w:div>
        <w:div w:id="952708957">
          <w:marLeft w:val="0"/>
          <w:marRight w:val="0"/>
          <w:marTop w:val="0"/>
          <w:marBottom w:val="0"/>
          <w:divBdr>
            <w:top w:val="none" w:sz="0" w:space="0" w:color="auto"/>
            <w:left w:val="none" w:sz="0" w:space="0" w:color="auto"/>
            <w:bottom w:val="none" w:sz="0" w:space="0" w:color="auto"/>
            <w:right w:val="none" w:sz="0" w:space="0" w:color="auto"/>
          </w:divBdr>
        </w:div>
        <w:div w:id="1589735275">
          <w:marLeft w:val="0"/>
          <w:marRight w:val="0"/>
          <w:marTop w:val="0"/>
          <w:marBottom w:val="0"/>
          <w:divBdr>
            <w:top w:val="none" w:sz="0" w:space="0" w:color="auto"/>
            <w:left w:val="none" w:sz="0" w:space="0" w:color="auto"/>
            <w:bottom w:val="none" w:sz="0" w:space="0" w:color="auto"/>
            <w:right w:val="none" w:sz="0" w:space="0" w:color="auto"/>
          </w:divBdr>
        </w:div>
        <w:div w:id="1641765104">
          <w:marLeft w:val="0"/>
          <w:marRight w:val="0"/>
          <w:marTop w:val="0"/>
          <w:marBottom w:val="0"/>
          <w:divBdr>
            <w:top w:val="none" w:sz="0" w:space="0" w:color="auto"/>
            <w:left w:val="none" w:sz="0" w:space="0" w:color="auto"/>
            <w:bottom w:val="none" w:sz="0" w:space="0" w:color="auto"/>
            <w:right w:val="none" w:sz="0" w:space="0" w:color="auto"/>
          </w:divBdr>
        </w:div>
        <w:div w:id="1822304574">
          <w:marLeft w:val="0"/>
          <w:marRight w:val="0"/>
          <w:marTop w:val="0"/>
          <w:marBottom w:val="0"/>
          <w:divBdr>
            <w:top w:val="none" w:sz="0" w:space="0" w:color="auto"/>
            <w:left w:val="none" w:sz="0" w:space="0" w:color="auto"/>
            <w:bottom w:val="none" w:sz="0" w:space="0" w:color="auto"/>
            <w:right w:val="none" w:sz="0" w:space="0" w:color="auto"/>
          </w:divBdr>
          <w:divsChild>
            <w:div w:id="1524130285">
              <w:marLeft w:val="-75"/>
              <w:marRight w:val="0"/>
              <w:marTop w:val="30"/>
              <w:marBottom w:val="30"/>
              <w:divBdr>
                <w:top w:val="none" w:sz="0" w:space="0" w:color="auto"/>
                <w:left w:val="none" w:sz="0" w:space="0" w:color="auto"/>
                <w:bottom w:val="none" w:sz="0" w:space="0" w:color="auto"/>
                <w:right w:val="none" w:sz="0" w:space="0" w:color="auto"/>
              </w:divBdr>
              <w:divsChild>
                <w:div w:id="247814794">
                  <w:marLeft w:val="0"/>
                  <w:marRight w:val="0"/>
                  <w:marTop w:val="0"/>
                  <w:marBottom w:val="0"/>
                  <w:divBdr>
                    <w:top w:val="none" w:sz="0" w:space="0" w:color="auto"/>
                    <w:left w:val="none" w:sz="0" w:space="0" w:color="auto"/>
                    <w:bottom w:val="none" w:sz="0" w:space="0" w:color="auto"/>
                    <w:right w:val="none" w:sz="0" w:space="0" w:color="auto"/>
                  </w:divBdr>
                  <w:divsChild>
                    <w:div w:id="1919746809">
                      <w:marLeft w:val="0"/>
                      <w:marRight w:val="0"/>
                      <w:marTop w:val="0"/>
                      <w:marBottom w:val="0"/>
                      <w:divBdr>
                        <w:top w:val="none" w:sz="0" w:space="0" w:color="auto"/>
                        <w:left w:val="none" w:sz="0" w:space="0" w:color="auto"/>
                        <w:bottom w:val="none" w:sz="0" w:space="0" w:color="auto"/>
                        <w:right w:val="none" w:sz="0" w:space="0" w:color="auto"/>
                      </w:divBdr>
                    </w:div>
                  </w:divsChild>
                </w:div>
                <w:div w:id="323824719">
                  <w:marLeft w:val="0"/>
                  <w:marRight w:val="0"/>
                  <w:marTop w:val="0"/>
                  <w:marBottom w:val="0"/>
                  <w:divBdr>
                    <w:top w:val="none" w:sz="0" w:space="0" w:color="auto"/>
                    <w:left w:val="none" w:sz="0" w:space="0" w:color="auto"/>
                    <w:bottom w:val="none" w:sz="0" w:space="0" w:color="auto"/>
                    <w:right w:val="none" w:sz="0" w:space="0" w:color="auto"/>
                  </w:divBdr>
                  <w:divsChild>
                    <w:div w:id="1628390936">
                      <w:marLeft w:val="0"/>
                      <w:marRight w:val="0"/>
                      <w:marTop w:val="0"/>
                      <w:marBottom w:val="0"/>
                      <w:divBdr>
                        <w:top w:val="none" w:sz="0" w:space="0" w:color="auto"/>
                        <w:left w:val="none" w:sz="0" w:space="0" w:color="auto"/>
                        <w:bottom w:val="none" w:sz="0" w:space="0" w:color="auto"/>
                        <w:right w:val="none" w:sz="0" w:space="0" w:color="auto"/>
                      </w:divBdr>
                    </w:div>
                  </w:divsChild>
                </w:div>
                <w:div w:id="533613070">
                  <w:marLeft w:val="0"/>
                  <w:marRight w:val="0"/>
                  <w:marTop w:val="0"/>
                  <w:marBottom w:val="0"/>
                  <w:divBdr>
                    <w:top w:val="none" w:sz="0" w:space="0" w:color="auto"/>
                    <w:left w:val="none" w:sz="0" w:space="0" w:color="auto"/>
                    <w:bottom w:val="none" w:sz="0" w:space="0" w:color="auto"/>
                    <w:right w:val="none" w:sz="0" w:space="0" w:color="auto"/>
                  </w:divBdr>
                  <w:divsChild>
                    <w:div w:id="2142575422">
                      <w:marLeft w:val="0"/>
                      <w:marRight w:val="0"/>
                      <w:marTop w:val="0"/>
                      <w:marBottom w:val="0"/>
                      <w:divBdr>
                        <w:top w:val="none" w:sz="0" w:space="0" w:color="auto"/>
                        <w:left w:val="none" w:sz="0" w:space="0" w:color="auto"/>
                        <w:bottom w:val="none" w:sz="0" w:space="0" w:color="auto"/>
                        <w:right w:val="none" w:sz="0" w:space="0" w:color="auto"/>
                      </w:divBdr>
                    </w:div>
                  </w:divsChild>
                </w:div>
                <w:div w:id="535236401">
                  <w:marLeft w:val="0"/>
                  <w:marRight w:val="0"/>
                  <w:marTop w:val="0"/>
                  <w:marBottom w:val="0"/>
                  <w:divBdr>
                    <w:top w:val="none" w:sz="0" w:space="0" w:color="auto"/>
                    <w:left w:val="none" w:sz="0" w:space="0" w:color="auto"/>
                    <w:bottom w:val="none" w:sz="0" w:space="0" w:color="auto"/>
                    <w:right w:val="none" w:sz="0" w:space="0" w:color="auto"/>
                  </w:divBdr>
                  <w:divsChild>
                    <w:div w:id="1395346631">
                      <w:marLeft w:val="0"/>
                      <w:marRight w:val="0"/>
                      <w:marTop w:val="0"/>
                      <w:marBottom w:val="0"/>
                      <w:divBdr>
                        <w:top w:val="none" w:sz="0" w:space="0" w:color="auto"/>
                        <w:left w:val="none" w:sz="0" w:space="0" w:color="auto"/>
                        <w:bottom w:val="none" w:sz="0" w:space="0" w:color="auto"/>
                        <w:right w:val="none" w:sz="0" w:space="0" w:color="auto"/>
                      </w:divBdr>
                    </w:div>
                  </w:divsChild>
                </w:div>
                <w:div w:id="698580674">
                  <w:marLeft w:val="0"/>
                  <w:marRight w:val="0"/>
                  <w:marTop w:val="0"/>
                  <w:marBottom w:val="0"/>
                  <w:divBdr>
                    <w:top w:val="none" w:sz="0" w:space="0" w:color="auto"/>
                    <w:left w:val="none" w:sz="0" w:space="0" w:color="auto"/>
                    <w:bottom w:val="none" w:sz="0" w:space="0" w:color="auto"/>
                    <w:right w:val="none" w:sz="0" w:space="0" w:color="auto"/>
                  </w:divBdr>
                  <w:divsChild>
                    <w:div w:id="198980693">
                      <w:marLeft w:val="0"/>
                      <w:marRight w:val="0"/>
                      <w:marTop w:val="0"/>
                      <w:marBottom w:val="0"/>
                      <w:divBdr>
                        <w:top w:val="none" w:sz="0" w:space="0" w:color="auto"/>
                        <w:left w:val="none" w:sz="0" w:space="0" w:color="auto"/>
                        <w:bottom w:val="none" w:sz="0" w:space="0" w:color="auto"/>
                        <w:right w:val="none" w:sz="0" w:space="0" w:color="auto"/>
                      </w:divBdr>
                    </w:div>
                    <w:div w:id="1342394704">
                      <w:marLeft w:val="0"/>
                      <w:marRight w:val="0"/>
                      <w:marTop w:val="0"/>
                      <w:marBottom w:val="0"/>
                      <w:divBdr>
                        <w:top w:val="none" w:sz="0" w:space="0" w:color="auto"/>
                        <w:left w:val="none" w:sz="0" w:space="0" w:color="auto"/>
                        <w:bottom w:val="none" w:sz="0" w:space="0" w:color="auto"/>
                        <w:right w:val="none" w:sz="0" w:space="0" w:color="auto"/>
                      </w:divBdr>
                    </w:div>
                  </w:divsChild>
                </w:div>
                <w:div w:id="822817801">
                  <w:marLeft w:val="0"/>
                  <w:marRight w:val="0"/>
                  <w:marTop w:val="0"/>
                  <w:marBottom w:val="0"/>
                  <w:divBdr>
                    <w:top w:val="none" w:sz="0" w:space="0" w:color="auto"/>
                    <w:left w:val="none" w:sz="0" w:space="0" w:color="auto"/>
                    <w:bottom w:val="none" w:sz="0" w:space="0" w:color="auto"/>
                    <w:right w:val="none" w:sz="0" w:space="0" w:color="auto"/>
                  </w:divBdr>
                  <w:divsChild>
                    <w:div w:id="989022928">
                      <w:marLeft w:val="0"/>
                      <w:marRight w:val="0"/>
                      <w:marTop w:val="0"/>
                      <w:marBottom w:val="0"/>
                      <w:divBdr>
                        <w:top w:val="none" w:sz="0" w:space="0" w:color="auto"/>
                        <w:left w:val="none" w:sz="0" w:space="0" w:color="auto"/>
                        <w:bottom w:val="none" w:sz="0" w:space="0" w:color="auto"/>
                        <w:right w:val="none" w:sz="0" w:space="0" w:color="auto"/>
                      </w:divBdr>
                    </w:div>
                  </w:divsChild>
                </w:div>
                <w:div w:id="832649622">
                  <w:marLeft w:val="0"/>
                  <w:marRight w:val="0"/>
                  <w:marTop w:val="0"/>
                  <w:marBottom w:val="0"/>
                  <w:divBdr>
                    <w:top w:val="none" w:sz="0" w:space="0" w:color="auto"/>
                    <w:left w:val="none" w:sz="0" w:space="0" w:color="auto"/>
                    <w:bottom w:val="none" w:sz="0" w:space="0" w:color="auto"/>
                    <w:right w:val="none" w:sz="0" w:space="0" w:color="auto"/>
                  </w:divBdr>
                  <w:divsChild>
                    <w:div w:id="1833831239">
                      <w:marLeft w:val="0"/>
                      <w:marRight w:val="0"/>
                      <w:marTop w:val="0"/>
                      <w:marBottom w:val="0"/>
                      <w:divBdr>
                        <w:top w:val="none" w:sz="0" w:space="0" w:color="auto"/>
                        <w:left w:val="none" w:sz="0" w:space="0" w:color="auto"/>
                        <w:bottom w:val="none" w:sz="0" w:space="0" w:color="auto"/>
                        <w:right w:val="none" w:sz="0" w:space="0" w:color="auto"/>
                      </w:divBdr>
                    </w:div>
                  </w:divsChild>
                </w:div>
                <w:div w:id="1038628547">
                  <w:marLeft w:val="0"/>
                  <w:marRight w:val="0"/>
                  <w:marTop w:val="0"/>
                  <w:marBottom w:val="0"/>
                  <w:divBdr>
                    <w:top w:val="none" w:sz="0" w:space="0" w:color="auto"/>
                    <w:left w:val="none" w:sz="0" w:space="0" w:color="auto"/>
                    <w:bottom w:val="none" w:sz="0" w:space="0" w:color="auto"/>
                    <w:right w:val="none" w:sz="0" w:space="0" w:color="auto"/>
                  </w:divBdr>
                  <w:divsChild>
                    <w:div w:id="1455248375">
                      <w:marLeft w:val="0"/>
                      <w:marRight w:val="0"/>
                      <w:marTop w:val="0"/>
                      <w:marBottom w:val="0"/>
                      <w:divBdr>
                        <w:top w:val="none" w:sz="0" w:space="0" w:color="auto"/>
                        <w:left w:val="none" w:sz="0" w:space="0" w:color="auto"/>
                        <w:bottom w:val="none" w:sz="0" w:space="0" w:color="auto"/>
                        <w:right w:val="none" w:sz="0" w:space="0" w:color="auto"/>
                      </w:divBdr>
                    </w:div>
                  </w:divsChild>
                </w:div>
                <w:div w:id="1192961529">
                  <w:marLeft w:val="0"/>
                  <w:marRight w:val="0"/>
                  <w:marTop w:val="0"/>
                  <w:marBottom w:val="0"/>
                  <w:divBdr>
                    <w:top w:val="none" w:sz="0" w:space="0" w:color="auto"/>
                    <w:left w:val="none" w:sz="0" w:space="0" w:color="auto"/>
                    <w:bottom w:val="none" w:sz="0" w:space="0" w:color="auto"/>
                    <w:right w:val="none" w:sz="0" w:space="0" w:color="auto"/>
                  </w:divBdr>
                  <w:divsChild>
                    <w:div w:id="1876313705">
                      <w:marLeft w:val="0"/>
                      <w:marRight w:val="0"/>
                      <w:marTop w:val="0"/>
                      <w:marBottom w:val="0"/>
                      <w:divBdr>
                        <w:top w:val="none" w:sz="0" w:space="0" w:color="auto"/>
                        <w:left w:val="none" w:sz="0" w:space="0" w:color="auto"/>
                        <w:bottom w:val="none" w:sz="0" w:space="0" w:color="auto"/>
                        <w:right w:val="none" w:sz="0" w:space="0" w:color="auto"/>
                      </w:divBdr>
                    </w:div>
                  </w:divsChild>
                </w:div>
                <w:div w:id="1212960390">
                  <w:marLeft w:val="0"/>
                  <w:marRight w:val="0"/>
                  <w:marTop w:val="0"/>
                  <w:marBottom w:val="0"/>
                  <w:divBdr>
                    <w:top w:val="none" w:sz="0" w:space="0" w:color="auto"/>
                    <w:left w:val="none" w:sz="0" w:space="0" w:color="auto"/>
                    <w:bottom w:val="none" w:sz="0" w:space="0" w:color="auto"/>
                    <w:right w:val="none" w:sz="0" w:space="0" w:color="auto"/>
                  </w:divBdr>
                  <w:divsChild>
                    <w:div w:id="90012949">
                      <w:marLeft w:val="0"/>
                      <w:marRight w:val="0"/>
                      <w:marTop w:val="0"/>
                      <w:marBottom w:val="0"/>
                      <w:divBdr>
                        <w:top w:val="none" w:sz="0" w:space="0" w:color="auto"/>
                        <w:left w:val="none" w:sz="0" w:space="0" w:color="auto"/>
                        <w:bottom w:val="none" w:sz="0" w:space="0" w:color="auto"/>
                        <w:right w:val="none" w:sz="0" w:space="0" w:color="auto"/>
                      </w:divBdr>
                    </w:div>
                  </w:divsChild>
                </w:div>
                <w:div w:id="1387608763">
                  <w:marLeft w:val="0"/>
                  <w:marRight w:val="0"/>
                  <w:marTop w:val="0"/>
                  <w:marBottom w:val="0"/>
                  <w:divBdr>
                    <w:top w:val="none" w:sz="0" w:space="0" w:color="auto"/>
                    <w:left w:val="none" w:sz="0" w:space="0" w:color="auto"/>
                    <w:bottom w:val="none" w:sz="0" w:space="0" w:color="auto"/>
                    <w:right w:val="none" w:sz="0" w:space="0" w:color="auto"/>
                  </w:divBdr>
                  <w:divsChild>
                    <w:div w:id="685909040">
                      <w:marLeft w:val="0"/>
                      <w:marRight w:val="0"/>
                      <w:marTop w:val="0"/>
                      <w:marBottom w:val="0"/>
                      <w:divBdr>
                        <w:top w:val="none" w:sz="0" w:space="0" w:color="auto"/>
                        <w:left w:val="none" w:sz="0" w:space="0" w:color="auto"/>
                        <w:bottom w:val="none" w:sz="0" w:space="0" w:color="auto"/>
                        <w:right w:val="none" w:sz="0" w:space="0" w:color="auto"/>
                      </w:divBdr>
                    </w:div>
                  </w:divsChild>
                </w:div>
                <w:div w:id="1456633996">
                  <w:marLeft w:val="0"/>
                  <w:marRight w:val="0"/>
                  <w:marTop w:val="0"/>
                  <w:marBottom w:val="0"/>
                  <w:divBdr>
                    <w:top w:val="none" w:sz="0" w:space="0" w:color="auto"/>
                    <w:left w:val="none" w:sz="0" w:space="0" w:color="auto"/>
                    <w:bottom w:val="none" w:sz="0" w:space="0" w:color="auto"/>
                    <w:right w:val="none" w:sz="0" w:space="0" w:color="auto"/>
                  </w:divBdr>
                  <w:divsChild>
                    <w:div w:id="216674769">
                      <w:marLeft w:val="0"/>
                      <w:marRight w:val="0"/>
                      <w:marTop w:val="0"/>
                      <w:marBottom w:val="0"/>
                      <w:divBdr>
                        <w:top w:val="none" w:sz="0" w:space="0" w:color="auto"/>
                        <w:left w:val="none" w:sz="0" w:space="0" w:color="auto"/>
                        <w:bottom w:val="none" w:sz="0" w:space="0" w:color="auto"/>
                        <w:right w:val="none" w:sz="0" w:space="0" w:color="auto"/>
                      </w:divBdr>
                    </w:div>
                    <w:div w:id="1127695721">
                      <w:marLeft w:val="0"/>
                      <w:marRight w:val="0"/>
                      <w:marTop w:val="0"/>
                      <w:marBottom w:val="0"/>
                      <w:divBdr>
                        <w:top w:val="none" w:sz="0" w:space="0" w:color="auto"/>
                        <w:left w:val="none" w:sz="0" w:space="0" w:color="auto"/>
                        <w:bottom w:val="none" w:sz="0" w:space="0" w:color="auto"/>
                        <w:right w:val="none" w:sz="0" w:space="0" w:color="auto"/>
                      </w:divBdr>
                    </w:div>
                  </w:divsChild>
                </w:div>
                <w:div w:id="1689211802">
                  <w:marLeft w:val="0"/>
                  <w:marRight w:val="0"/>
                  <w:marTop w:val="0"/>
                  <w:marBottom w:val="0"/>
                  <w:divBdr>
                    <w:top w:val="none" w:sz="0" w:space="0" w:color="auto"/>
                    <w:left w:val="none" w:sz="0" w:space="0" w:color="auto"/>
                    <w:bottom w:val="none" w:sz="0" w:space="0" w:color="auto"/>
                    <w:right w:val="none" w:sz="0" w:space="0" w:color="auto"/>
                  </w:divBdr>
                  <w:divsChild>
                    <w:div w:id="405304861">
                      <w:marLeft w:val="0"/>
                      <w:marRight w:val="0"/>
                      <w:marTop w:val="0"/>
                      <w:marBottom w:val="0"/>
                      <w:divBdr>
                        <w:top w:val="none" w:sz="0" w:space="0" w:color="auto"/>
                        <w:left w:val="none" w:sz="0" w:space="0" w:color="auto"/>
                        <w:bottom w:val="none" w:sz="0" w:space="0" w:color="auto"/>
                        <w:right w:val="none" w:sz="0" w:space="0" w:color="auto"/>
                      </w:divBdr>
                    </w:div>
                  </w:divsChild>
                </w:div>
                <w:div w:id="1758403401">
                  <w:marLeft w:val="0"/>
                  <w:marRight w:val="0"/>
                  <w:marTop w:val="0"/>
                  <w:marBottom w:val="0"/>
                  <w:divBdr>
                    <w:top w:val="none" w:sz="0" w:space="0" w:color="auto"/>
                    <w:left w:val="none" w:sz="0" w:space="0" w:color="auto"/>
                    <w:bottom w:val="none" w:sz="0" w:space="0" w:color="auto"/>
                    <w:right w:val="none" w:sz="0" w:space="0" w:color="auto"/>
                  </w:divBdr>
                  <w:divsChild>
                    <w:div w:id="61098185">
                      <w:marLeft w:val="0"/>
                      <w:marRight w:val="0"/>
                      <w:marTop w:val="0"/>
                      <w:marBottom w:val="0"/>
                      <w:divBdr>
                        <w:top w:val="none" w:sz="0" w:space="0" w:color="auto"/>
                        <w:left w:val="none" w:sz="0" w:space="0" w:color="auto"/>
                        <w:bottom w:val="none" w:sz="0" w:space="0" w:color="auto"/>
                        <w:right w:val="none" w:sz="0" w:space="0" w:color="auto"/>
                      </w:divBdr>
                    </w:div>
                  </w:divsChild>
                </w:div>
                <w:div w:id="1768964307">
                  <w:marLeft w:val="0"/>
                  <w:marRight w:val="0"/>
                  <w:marTop w:val="0"/>
                  <w:marBottom w:val="0"/>
                  <w:divBdr>
                    <w:top w:val="none" w:sz="0" w:space="0" w:color="auto"/>
                    <w:left w:val="none" w:sz="0" w:space="0" w:color="auto"/>
                    <w:bottom w:val="none" w:sz="0" w:space="0" w:color="auto"/>
                    <w:right w:val="none" w:sz="0" w:space="0" w:color="auto"/>
                  </w:divBdr>
                  <w:divsChild>
                    <w:div w:id="1292439916">
                      <w:marLeft w:val="0"/>
                      <w:marRight w:val="0"/>
                      <w:marTop w:val="0"/>
                      <w:marBottom w:val="0"/>
                      <w:divBdr>
                        <w:top w:val="none" w:sz="0" w:space="0" w:color="auto"/>
                        <w:left w:val="none" w:sz="0" w:space="0" w:color="auto"/>
                        <w:bottom w:val="none" w:sz="0" w:space="0" w:color="auto"/>
                        <w:right w:val="none" w:sz="0" w:space="0" w:color="auto"/>
                      </w:divBdr>
                    </w:div>
                  </w:divsChild>
                </w:div>
                <w:div w:id="1819028799">
                  <w:marLeft w:val="0"/>
                  <w:marRight w:val="0"/>
                  <w:marTop w:val="0"/>
                  <w:marBottom w:val="0"/>
                  <w:divBdr>
                    <w:top w:val="none" w:sz="0" w:space="0" w:color="auto"/>
                    <w:left w:val="none" w:sz="0" w:space="0" w:color="auto"/>
                    <w:bottom w:val="none" w:sz="0" w:space="0" w:color="auto"/>
                    <w:right w:val="none" w:sz="0" w:space="0" w:color="auto"/>
                  </w:divBdr>
                  <w:divsChild>
                    <w:div w:id="299000068">
                      <w:marLeft w:val="0"/>
                      <w:marRight w:val="0"/>
                      <w:marTop w:val="0"/>
                      <w:marBottom w:val="0"/>
                      <w:divBdr>
                        <w:top w:val="none" w:sz="0" w:space="0" w:color="auto"/>
                        <w:left w:val="none" w:sz="0" w:space="0" w:color="auto"/>
                        <w:bottom w:val="none" w:sz="0" w:space="0" w:color="auto"/>
                        <w:right w:val="none" w:sz="0" w:space="0" w:color="auto"/>
                      </w:divBdr>
                    </w:div>
                  </w:divsChild>
                </w:div>
                <w:div w:id="1951621832">
                  <w:marLeft w:val="0"/>
                  <w:marRight w:val="0"/>
                  <w:marTop w:val="0"/>
                  <w:marBottom w:val="0"/>
                  <w:divBdr>
                    <w:top w:val="none" w:sz="0" w:space="0" w:color="auto"/>
                    <w:left w:val="none" w:sz="0" w:space="0" w:color="auto"/>
                    <w:bottom w:val="none" w:sz="0" w:space="0" w:color="auto"/>
                    <w:right w:val="none" w:sz="0" w:space="0" w:color="auto"/>
                  </w:divBdr>
                  <w:divsChild>
                    <w:div w:id="1145704726">
                      <w:marLeft w:val="0"/>
                      <w:marRight w:val="0"/>
                      <w:marTop w:val="0"/>
                      <w:marBottom w:val="0"/>
                      <w:divBdr>
                        <w:top w:val="none" w:sz="0" w:space="0" w:color="auto"/>
                        <w:left w:val="none" w:sz="0" w:space="0" w:color="auto"/>
                        <w:bottom w:val="none" w:sz="0" w:space="0" w:color="auto"/>
                        <w:right w:val="none" w:sz="0" w:space="0" w:color="auto"/>
                      </w:divBdr>
                    </w:div>
                  </w:divsChild>
                </w:div>
                <w:div w:id="1980571587">
                  <w:marLeft w:val="0"/>
                  <w:marRight w:val="0"/>
                  <w:marTop w:val="0"/>
                  <w:marBottom w:val="0"/>
                  <w:divBdr>
                    <w:top w:val="none" w:sz="0" w:space="0" w:color="auto"/>
                    <w:left w:val="none" w:sz="0" w:space="0" w:color="auto"/>
                    <w:bottom w:val="none" w:sz="0" w:space="0" w:color="auto"/>
                    <w:right w:val="none" w:sz="0" w:space="0" w:color="auto"/>
                  </w:divBdr>
                  <w:divsChild>
                    <w:div w:id="10150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28737">
          <w:marLeft w:val="0"/>
          <w:marRight w:val="0"/>
          <w:marTop w:val="0"/>
          <w:marBottom w:val="0"/>
          <w:divBdr>
            <w:top w:val="none" w:sz="0" w:space="0" w:color="auto"/>
            <w:left w:val="none" w:sz="0" w:space="0" w:color="auto"/>
            <w:bottom w:val="none" w:sz="0" w:space="0" w:color="auto"/>
            <w:right w:val="none" w:sz="0" w:space="0" w:color="auto"/>
          </w:divBdr>
        </w:div>
      </w:divsChild>
    </w:div>
    <w:div w:id="1994681061">
      <w:bodyDiv w:val="1"/>
      <w:marLeft w:val="0"/>
      <w:marRight w:val="0"/>
      <w:marTop w:val="0"/>
      <w:marBottom w:val="0"/>
      <w:divBdr>
        <w:top w:val="none" w:sz="0" w:space="0" w:color="auto"/>
        <w:left w:val="none" w:sz="0" w:space="0" w:color="auto"/>
        <w:bottom w:val="none" w:sz="0" w:space="0" w:color="auto"/>
        <w:right w:val="none" w:sz="0" w:space="0" w:color="auto"/>
      </w:divBdr>
    </w:div>
    <w:div w:id="2064789180">
      <w:bodyDiv w:val="1"/>
      <w:marLeft w:val="0"/>
      <w:marRight w:val="0"/>
      <w:marTop w:val="0"/>
      <w:marBottom w:val="0"/>
      <w:divBdr>
        <w:top w:val="none" w:sz="0" w:space="0" w:color="auto"/>
        <w:left w:val="none" w:sz="0" w:space="0" w:color="auto"/>
        <w:bottom w:val="none" w:sz="0" w:space="0" w:color="auto"/>
        <w:right w:val="none" w:sz="0" w:space="0" w:color="auto"/>
      </w:divBdr>
    </w:div>
    <w:div w:id="213536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evflow.northeurope.cloudapp.azure.com/files/documents/2021-BPFGFCR-Business-Case-20221128101153.pdf" TargetMode="External" Id="rId13" /><Relationship Type="http://schemas.openxmlformats.org/officeDocument/2006/relationships/header" Target="header1.xml" Id="rId18" /><Relationship Type="http://schemas.openxmlformats.org/officeDocument/2006/relationships/hyperlink" Target="https://defra.sharepoint.com/:w:/r/teams/Team2210/_layouts/15/Doc.aspx?sourcedoc=%7BE742FF02-241F-45A2-BBEE-D9CF0DF0686D%7D&amp;file=FINAL%20GFCR%20Y1%20Annual%20Review.docx&amp;action=default&amp;mobileredirect=true" TargetMode="External" Id="rId26" /><Relationship Type="http://schemas.openxmlformats.org/officeDocument/2006/relationships/hyperlink" Target="mailto:ODAhub@defra.gov.uk" TargetMode="External" Id="rId39" /><Relationship Type="http://schemas.microsoft.com/office/2007/relationships/hdphoto" Target="media/hdphoto1.wdp" Id="rId21" /><Relationship Type="http://schemas.openxmlformats.org/officeDocument/2006/relationships/hyperlink" Target="https://intranet.defra.gov.uk/how-to/finance-procurement/finance/accounting-officer/" TargetMode="External" Id="rId34" /><Relationship Type="http://schemas.openxmlformats.org/officeDocument/2006/relationships/theme" Target="theme/theme1.xml"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defra.sharepoint.com/:w:/r/teams/Team2210/_layouts/15/Doc.aspx?sourcedoc=%7B7F62A022-3DEC-4B1A-861E-FAD5426012C9%7D&amp;file=GFCR%20RPA%202022%20V3.docx&amp;action=default&amp;mobileredirect=true" TargetMode="External" Id="rId16" /><Relationship Type="http://schemas.openxmlformats.org/officeDocument/2006/relationships/image" Target="media/image2.png" Id="rId20" /><Relationship Type="http://schemas.openxmlformats.org/officeDocument/2006/relationships/image" Target="media/image7.png" Id="rId29" /><Relationship Type="http://schemas.openxmlformats.org/officeDocument/2006/relationships/glossaryDocument" Target="glossary/document.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4.png" Id="rId24" /><Relationship Type="http://schemas.openxmlformats.org/officeDocument/2006/relationships/hyperlink" Target="https://eur03.safelinks.protection.outlook.com/ap/w-59584e83/?url=https%3A%2F%2Fdefra.sharepoint.com%2F%3Aw%3A%2Fr%2Fteams%2FTeam188%2F_layouts%2F15%2FDoc.aspx%3Fsourcedoc%3D%257B7EACD9D2-B2CD-42A3-BCE1-5F9710B0C6EC%257D%26file%3DRPA%2520Help%2520Sheet.odt%26action%3Ddefault%26mobileredirect%3Dtrue%26cid%3D3d36f544-490e-438c-b078-392eb3df6f45&amp;data=05%7C01%7CAbigail.Niblett%40defra.gov.uk%7Cc4bb974afe2a4914be5508da6fdcd727%7C770a245002274c6290c74e38537f1102%7C0%7C0%7C637945291585005511%7CUnknown%7CTWFpbGZsb3d8eyJWIjoiMC4wLjAwMDAiLCJQIjoiV2luMzIiLCJBTiI6Ik1haWwiLCJXVCI6Mn0%3D%7C3000%7C%7C%7C&amp;sdata=k6xcukY4H93lqgGX1d4oNIVMtkGYSCkt0lKF0nNJgeA%3D&amp;reserved=0" TargetMode="External" Id="rId32" /><Relationship Type="http://schemas.openxmlformats.org/officeDocument/2006/relationships/hyperlink" Target="https://eur03.safelinks.protection.outlook.com/ap/w-59584e83/?url=https%3A%2F%2Fdefra.sharepoint.com%2F%3Aw%3A%2Fr%2Fteams%2FTeam188%2F_layouts%2F15%2FDoc.aspx%3Fsourcedoc%3D%257BAFFA9402-44E2-419F-B694-ADB4972FC632%257D%26file%3DDefra%2520IAAP%2520Template%2520v0.4%252014.10.2020.docx%26action%3Ddefault%26mobileredirect%3Dtrue%26cid%3Ddd8adf7d-35c6-4730-b632-141153f082c8&amp;data=05%7C01%7CAbigail.Niblett%40defra.gov.uk%7Cc4bb974afe2a4914be5508da6fdcd727%7C770a245002274c6290c74e38537f1102%7C0%7C0%7C637945291585005511%7CUnknown%7CTWFpbGZsb3d8eyJWIjoiMC4wLjAwMDAiLCJQIjoiV2luMzIiLCJBTiI6Ik1haWwiLCJXVCI6Mn0%3D%7C3000%7C%7C%7C&amp;sdata=CI3tgvK5l%2BhJgm%2Bwc8OZAVsevgMOjFDGsskoXPZ9KHc%3D&amp;reserved=0" TargetMode="External" Id="rId37" /><Relationship Type="http://schemas.openxmlformats.org/officeDocument/2006/relationships/fontTable" Target="fontTable.xml" Id="rId40" /><Relationship Type="http://schemas.openxmlformats.org/officeDocument/2006/relationships/customXml" Target="../customXml/item5.xml" Id="rId5" /><Relationship Type="http://schemas.openxmlformats.org/officeDocument/2006/relationships/hyperlink" Target="https://defra.sharepoint.com/:w:/r/teams/Team2210/_layouts/15/Doc.aspx?sourcedoc=%7B25EDD38D-4AE7-479E-9D6A-A337894F578F%7D&amp;file=GFCR%20%20IAAP%2026.10.22%20V3.docx&amp;action=default&amp;mobileredirect=true" TargetMode="External" Id="rId15" /><Relationship Type="http://schemas.openxmlformats.org/officeDocument/2006/relationships/image" Target="media/image3.png" Id="rId23" /><Relationship Type="http://schemas.openxmlformats.org/officeDocument/2006/relationships/image" Target="media/image6.png" Id="rId28" /><Relationship Type="http://schemas.openxmlformats.org/officeDocument/2006/relationships/hyperlink" Target="https://eur03.safelinks.protection.outlook.com/ap/w-59584e83/?url=https%3A%2F%2Fdefra.sharepoint.com%2F%3Aw%3A%2Fr%2Fteams%2FTeam188%2F_layouts%2F15%2FDoc.aspx%3Fsourcedoc%3D%257B7EACD9D2-B2CD-42A3-BCE1-5F9710B0C6EC%257D%26file%3DRPA%2520Help%2520Sheet.odt%26action%3Ddefault%26mobileredirect%3Dtrue%26cid%3D3d36f544-490e-438c-b078-392eb3df6f45&amp;data=05%7C01%7CAbigail.Niblett%40defra.gov.uk%7Cc4bb974afe2a4914be5508da6fdcd727%7C770a245002274c6290c74e38537f1102%7C0%7C0%7C637945291585005511%7CUnknown%7CTWFpbGZsb3d8eyJWIjoiMC4wLjAwMDAiLCJQIjoiV2luMzIiLCJBTiI6Ik1haWwiLCJXVCI6Mn0%3D%7C3000%7C%7C%7C&amp;sdata=k6xcukY4H93lqgGX1d4oNIVMtkGYSCkt0lKF0nNJgeA%3D&amp;reserved=0" TargetMode="External" Id="rId36" /><Relationship Type="http://schemas.openxmlformats.org/officeDocument/2006/relationships/footnotes" Target="foot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devflow.northeurope.cloudapp.azure.com/files/documents/BPFGFCR-Business-Case-Addendum-2022-20221128111140.pdf" TargetMode="External" Id="rId14" /><Relationship Type="http://schemas.openxmlformats.org/officeDocument/2006/relationships/hyperlink" Target="https://www.cbd.int/article/cop15-cbd-press-release-final-19dec2022" TargetMode="External" Id="rId22" /><Relationship Type="http://schemas.openxmlformats.org/officeDocument/2006/relationships/hyperlink" Target="mailto:ODAhub@defra.gov.uk" TargetMode="External" Id="rId35"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hyperlink" Target="https://www.cbd.int/article/cop15-cbd-press-release-final-19dec2022" TargetMode="External" Id="rId17" /><Relationship Type="http://schemas.openxmlformats.org/officeDocument/2006/relationships/image" Target="media/image5.png" Id="rId25" /><Relationship Type="http://schemas.openxmlformats.org/officeDocument/2006/relationships/hyperlink" Target="https://eur03.safelinks.protection.outlook.com/ap/w-59584e83/?url=https%3A%2F%2Fdefra.sharepoint.com%2F%3Aw%3A%2Fr%2Fteams%2FTeam188%2F_layouts%2F15%2FDoc.aspx%3Fsourcedoc%3D%257BAFFA9402-44E2-419F-B694-ADB4972FC632%257D%26file%3DDefra%2520IAAP%2520Template%2520v0.4%252014.10.2020.docx%26action%3Ddefault%26mobileredirect%3Dtrue%26cid%3Ddd8adf7d-35c6-4730-b632-141153f082c8&amp;data=05%7C01%7CAbigail.Niblett%40defra.gov.uk%7Cc4bb974afe2a4914be5508da6fdcd727%7C770a245002274c6290c74e38537f1102%7C0%7C0%7C637945291585005511%7CUnknown%7CTWFpbGZsb3d8eyJWIjoiMC4wLjAwMDAiLCJQIjoiV2luMzIiLCJBTiI6Ik1haWwiLCJXVCI6Mn0%3D%7C3000%7C%7C%7C&amp;sdata=CI3tgvK5l%2BhJgm%2Bwc8OZAVsevgMOjFDGsskoXPZ9KHc%3D&amp;reserved=0" TargetMode="External" Id="rId33" /><Relationship Type="http://schemas.openxmlformats.org/officeDocument/2006/relationships/hyperlink" Target="https://intranet.defra.gov.uk/how-to/finance-procurement/finance/accounting-officer/" TargetMode="External" Id="rId38" /><Relationship Type="http://schemas.openxmlformats.org/officeDocument/2006/relationships/hyperlink" Target="https://defra.sharepoint.com/:w:/t/Team2210/EfdLks2j-AhJuBW0TIJY0EsBZb8cF-fPjFpPhihIzuqi0Q?e=tuyirI" TargetMode="External" Id="Rfa18ddfbc2fa4957" /><Relationship Type="http://schemas.openxmlformats.org/officeDocument/2006/relationships/hyperlink" Target="https://defra.sharepoint.com/:x:/r/teams/Team2210/_layouts/15/Doc.aspx?sourcedoc=%7BA8238EBE-F1C4-4125-A30C-AA5AB98182C3%7D&amp;file=FTE%20Resourcing%20Plan%20-%20Annex%20H.xlsx&amp;action=default&amp;mobileredirect=true" TargetMode="External" Id="Rb1ff633da8264377" /><Relationship Type="http://schemas.openxmlformats.org/officeDocument/2006/relationships/hyperlink" Target="https://defra.sharepoint.com/:x:/r/teams/Team2210/_layouts/15/Doc.aspx?sourcedoc=%7B629B28C3-C0C8-49A2-9738-EB7057366A7C%7D&amp;file=Defra%20GFCR%20LogFrame%20.xlsx&amp;action=default&amp;mobileredirect=true" TargetMode="External" Id="R3516d1dcccca4e60" /></Relationships>
</file>

<file path=word/_rels/footnotes.xml.rels><?xml version="1.0" encoding="UTF-8" standalone="yes"?>
<Relationships xmlns="http://schemas.openxmlformats.org/package/2006/relationships"><Relationship Id="rId3" Type="http://schemas.openxmlformats.org/officeDocument/2006/relationships/hyperlink" Target="https://www.paulsoninstitute.org/conservation/financing-nature-report/" TargetMode="External"/><Relationship Id="rId7" Type="http://schemas.openxmlformats.org/officeDocument/2006/relationships/hyperlink" Target="https://www.mopanonline.org/assessments/undp2020/MOPAN%20Assessment%20UNDP%20report%20web%20%5bfor%20download%5d.pdf" TargetMode="External"/><Relationship Id="rId2" Type="http://schemas.openxmlformats.org/officeDocument/2006/relationships/hyperlink" Target="https://reefresilience.org/value-of-reefs/" TargetMode="External"/><Relationship Id="rId1" Type="http://schemas.openxmlformats.org/officeDocument/2006/relationships/hyperlink" Target="https://icriforum.org/wp-content/uploads/2019/12/2018%20ISRS%20Consensus%20Statement%20on%20Coral%20Bleaching%20%20Climate%20Change%20final_0.pdf" TargetMode="External"/><Relationship Id="rId6" Type="http://schemas.openxmlformats.org/officeDocument/2006/relationships/hyperlink" Target="https://www.mopanonline.org/assessments/undp2020/MOPAN%20Assessment%20UNDP%20report%20web%20%5bfor%20download%5d.pdf" TargetMode="External"/><Relationship Id="rId5" Type="http://schemas.openxmlformats.org/officeDocument/2006/relationships/hyperlink" Target="file:///C:/Users/m998671/Downloads/GFCR_Annual%20Financial%20Report%202021.pdf" TargetMode="External"/><Relationship Id="rId4" Type="http://schemas.openxmlformats.org/officeDocument/2006/relationships/hyperlink" Target="https://mptf.undp.org/sites/default/files/documents/Consolidated%20Annual%20Report_FINA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B4079D07274BAE8CDC4BF4A4411EF6"/>
        <w:category>
          <w:name w:val="General"/>
          <w:gallery w:val="placeholder"/>
        </w:category>
        <w:types>
          <w:type w:val="bbPlcHdr"/>
        </w:types>
        <w:behaviors>
          <w:behavior w:val="content"/>
        </w:behaviors>
        <w:guid w:val="{D7B39879-C968-456F-8D2E-36BE80E4200C}"/>
      </w:docPartPr>
      <w:docPartBody>
        <w:p w:rsidR="0051114A" w:rsidRDefault="00E2744C" w:rsidP="00E2744C">
          <w:pPr>
            <w:pStyle w:val="70B4079D07274BAE8CDC4BF4A4411EF6"/>
          </w:pPr>
          <w:r w:rsidRPr="00E935C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44C"/>
    <w:rsid w:val="00036FC1"/>
    <w:rsid w:val="000A0BBD"/>
    <w:rsid w:val="000E6FF6"/>
    <w:rsid w:val="00153907"/>
    <w:rsid w:val="001859CD"/>
    <w:rsid w:val="00186E2E"/>
    <w:rsid w:val="00196146"/>
    <w:rsid w:val="001B5F5C"/>
    <w:rsid w:val="001C0823"/>
    <w:rsid w:val="001E2A64"/>
    <w:rsid w:val="0026118A"/>
    <w:rsid w:val="0031510C"/>
    <w:rsid w:val="003152A4"/>
    <w:rsid w:val="003479D4"/>
    <w:rsid w:val="003625C7"/>
    <w:rsid w:val="003B1D07"/>
    <w:rsid w:val="003C2D16"/>
    <w:rsid w:val="003E447D"/>
    <w:rsid w:val="003E6C0F"/>
    <w:rsid w:val="003F7981"/>
    <w:rsid w:val="00412019"/>
    <w:rsid w:val="00432967"/>
    <w:rsid w:val="004706E5"/>
    <w:rsid w:val="004C0770"/>
    <w:rsid w:val="00501412"/>
    <w:rsid w:val="00502262"/>
    <w:rsid w:val="0050490A"/>
    <w:rsid w:val="0051114A"/>
    <w:rsid w:val="00596A63"/>
    <w:rsid w:val="0060734D"/>
    <w:rsid w:val="006204DC"/>
    <w:rsid w:val="00630BD8"/>
    <w:rsid w:val="006477E0"/>
    <w:rsid w:val="0069678B"/>
    <w:rsid w:val="006D3C80"/>
    <w:rsid w:val="006F6629"/>
    <w:rsid w:val="00712A56"/>
    <w:rsid w:val="00744A87"/>
    <w:rsid w:val="007A32DC"/>
    <w:rsid w:val="007A56EF"/>
    <w:rsid w:val="00811369"/>
    <w:rsid w:val="00820013"/>
    <w:rsid w:val="008515DA"/>
    <w:rsid w:val="00867E2E"/>
    <w:rsid w:val="008A15D4"/>
    <w:rsid w:val="008C0548"/>
    <w:rsid w:val="008E7194"/>
    <w:rsid w:val="009008AA"/>
    <w:rsid w:val="009101EB"/>
    <w:rsid w:val="00940C0C"/>
    <w:rsid w:val="009419A2"/>
    <w:rsid w:val="00977702"/>
    <w:rsid w:val="009A194E"/>
    <w:rsid w:val="009A4A1B"/>
    <w:rsid w:val="009B218A"/>
    <w:rsid w:val="009D6366"/>
    <w:rsid w:val="009E583A"/>
    <w:rsid w:val="00A20F26"/>
    <w:rsid w:val="00A35ADD"/>
    <w:rsid w:val="00A853D5"/>
    <w:rsid w:val="00B34671"/>
    <w:rsid w:val="00B34B7C"/>
    <w:rsid w:val="00B4620B"/>
    <w:rsid w:val="00BA05F0"/>
    <w:rsid w:val="00C00CAA"/>
    <w:rsid w:val="00CF6229"/>
    <w:rsid w:val="00D10807"/>
    <w:rsid w:val="00D10CF4"/>
    <w:rsid w:val="00D35EA6"/>
    <w:rsid w:val="00D53BEE"/>
    <w:rsid w:val="00D801D5"/>
    <w:rsid w:val="00E04BB5"/>
    <w:rsid w:val="00E07C84"/>
    <w:rsid w:val="00E23B81"/>
    <w:rsid w:val="00E2744C"/>
    <w:rsid w:val="00EF18A3"/>
    <w:rsid w:val="00F311B6"/>
    <w:rsid w:val="00F9169E"/>
    <w:rsid w:val="00FE35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744C"/>
    <w:rPr>
      <w:color w:val="808080"/>
    </w:rPr>
  </w:style>
  <w:style w:type="paragraph" w:customStyle="1" w:styleId="70B4079D07274BAE8CDC4BF4A4411EF6">
    <w:name w:val="70B4079D07274BAE8CDC4BF4A4411EF6"/>
    <w:rsid w:val="00E2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058C510DC0EC04B89C7292E1DAEB953" ma:contentTypeVersion="22" ma:contentTypeDescription="Create a new document." ma:contentTypeScope="" ma:versionID="938e976627e9b058c147e547e9858cef">
  <xsd:schema xmlns:xsd="http://www.w3.org/2001/XMLSchema" xmlns:xs="http://www.w3.org/2001/XMLSchema" xmlns:p="http://schemas.microsoft.com/office/2006/metadata/properties" xmlns:ns2="662745e8-e224-48e8-a2e3-254862b8c2f5" xmlns:ns3="b13ba871-742c-4918-997e-010f5a8d916a" xmlns:ns4="01f5ea41-7e48-4e68-91b3-675ca7359689" targetNamespace="http://schemas.microsoft.com/office/2006/metadata/properties" ma:root="true" ma:fieldsID="8f5d358ae463cf1e4b6d7dbff6880ea7" ns2:_="" ns3:_="" ns4:_="">
    <xsd:import namespace="662745e8-e224-48e8-a2e3-254862b8c2f5"/>
    <xsd:import namespace="b13ba871-742c-4918-997e-010f5a8d916a"/>
    <xsd:import namespace="01f5ea41-7e48-4e68-91b3-675ca735968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3:lcf76f155ced4ddcb4097134ff3c332f"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1430912-0a6c-449f-b02c-9cd993c0bbb3}" ma:internalName="TaxCatchAll" ma:showField="CatchAllData" ma:web="01f5ea41-7e48-4e68-91b3-675ca735968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1430912-0a6c-449f-b02c-9cd993c0bbb3}" ma:internalName="TaxCatchAllLabel" ma:readOnly="true" ma:showField="CatchAllDataLabel" ma:web="01f5ea41-7e48-4e68-91b3-675ca7359689">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Marine" ma:internalName="Team">
      <xsd:simpleType>
        <xsd:restriction base="dms:Text"/>
      </xsd:simpleType>
    </xsd:element>
    <xsd:element name="Topic" ma:index="20" nillable="true" ma:displayName="Topic" ma:default="International_Blue_Financ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3ba871-742c-4918-997e-010f5a8d916a"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38" nillable="true" ma:displayName="MediaLengthInSeconds" ma:hidden="true" ma:internalName="MediaLengthInSeconds" ma:readOnly="true">
      <xsd:simpleType>
        <xsd:restriction base="dms:Unknown"/>
      </xsd:simpleType>
    </xsd:element>
    <xsd:element name="MediaServiceLocation" ma:index="39" nillable="true" ma:displayName="Location" ma:internalName="MediaServiceLocation" ma:readOnly="true">
      <xsd:simpleType>
        <xsd:restriction base="dms:Text"/>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f5ea41-7e48-4e68-91b3-675ca7359689"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International_Blue_Finance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lcf76f155ced4ddcb4097134ff3c332f xmlns="b13ba871-742c-4918-997e-010f5a8d916a">
      <Terms xmlns="http://schemas.microsoft.com/office/infopath/2007/PartnerControls"/>
    </lcf76f155ced4ddcb4097134ff3c332f>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Marine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EED1DE43-78A9-4D0B-9C3F-79EA83332302}">
  <ds:schemaRefs>
    <ds:schemaRef ds:uri="http://schemas.openxmlformats.org/officeDocument/2006/bibliography"/>
  </ds:schemaRefs>
</ds:datastoreItem>
</file>

<file path=customXml/itemProps2.xml><?xml version="1.0" encoding="utf-8"?>
<ds:datastoreItem xmlns:ds="http://schemas.openxmlformats.org/officeDocument/2006/customXml" ds:itemID="{E7D0F4CA-304B-42B7-A362-0F4B32C1B072}"/>
</file>

<file path=customXml/itemProps3.xml><?xml version="1.0" encoding="utf-8"?>
<ds:datastoreItem xmlns:ds="http://schemas.openxmlformats.org/officeDocument/2006/customXml" ds:itemID="{FD125511-6A3A-4CB0-BA54-D1DFBA70B836}">
  <ds:schemaRefs>
    <ds:schemaRef ds:uri="http://schemas.microsoft.com/sharepoint/v3/contenttype/forms"/>
  </ds:schemaRefs>
</ds:datastoreItem>
</file>

<file path=customXml/itemProps4.xml><?xml version="1.0" encoding="utf-8"?>
<ds:datastoreItem xmlns:ds="http://schemas.openxmlformats.org/officeDocument/2006/customXml" ds:itemID="{BC0EBDD4-5609-494B-8551-E90059B33CDE}">
  <ds:schemaRefs>
    <ds:schemaRef ds:uri="01f5ea41-7e48-4e68-91b3-675ca7359689"/>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 ds:uri="http://purl.org/dc/elements/1.1/"/>
    <ds:schemaRef ds:uri="http://www.w3.org/XML/1998/namespace"/>
    <ds:schemaRef ds:uri="b13ba871-742c-4918-997e-010f5a8d916a"/>
    <ds:schemaRef ds:uri="http://schemas.microsoft.com/office/infopath/2007/PartnerControls"/>
    <ds:schemaRef ds:uri="662745e8-e224-48e8-a2e3-254862b8c2f5"/>
  </ds:schemaRefs>
</ds:datastoreItem>
</file>

<file path=customXml/itemProps5.xml><?xml version="1.0" encoding="utf-8"?>
<ds:datastoreItem xmlns:ds="http://schemas.openxmlformats.org/officeDocument/2006/customXml" ds:itemID="{189D25B3-8D98-4016-B159-322E890F17C8}">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Fund for Coral Reefs (GFCR)</dc:title>
  <dc:subject/>
  <dc:creator>Banton, Graham</dc:creator>
  <cp:keywords/>
  <dc:description/>
  <cp:lastModifiedBy>Manassieva, Theo</cp:lastModifiedBy>
  <cp:revision>15</cp:revision>
  <cp:lastPrinted>2023-04-11T11:00:00Z</cp:lastPrinted>
  <dcterms:created xsi:type="dcterms:W3CDTF">2023-02-08T09:53:00Z</dcterms:created>
  <dcterms:modified xsi:type="dcterms:W3CDTF">2024-04-10T13:52:02Z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0x010100A5BF1C78D9F64B679A5EBDE1C6598EBC01003058C510DC0EC04B89C7292E1DAEB953</vt:lpwstr>
  </property>
  <property fmtid="{D5CDD505-2E9C-101B-9397-08002B2CF9AE}" pid="3" name="InformationType">
    <vt:lpwstr/>
  </property>
  <property fmtid="{D5CDD505-2E9C-101B-9397-08002B2CF9AE}" pid="4" name="Distribution">
    <vt:lpwstr>9;#Internal Core Defra|836ac8df-3ab9-4c95-a1f0-07f825804935</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8;#Core Defra|026223dd-2e56-4615-868d-7c5bfd566810</vt:lpwstr>
  </property>
</Properties>
</file>